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7F" w:rsidRPr="00CD557F" w:rsidRDefault="00654E3A" w:rsidP="00654E3A">
      <w:pPr>
        <w:jc w:val="center"/>
        <w:rPr>
          <w:rFonts w:eastAsia="Calibri" w:cs="Times New Roman"/>
          <w:b/>
          <w:i/>
          <w:sz w:val="22"/>
        </w:rPr>
      </w:pPr>
      <w:r w:rsidRPr="00654E3A">
        <w:rPr>
          <w:rFonts w:eastAsia="Calibri" w:cs="Times New Roman"/>
          <w:b/>
          <w:i/>
          <w:sz w:val="22"/>
        </w:rPr>
        <w:t xml:space="preserve">MACRA, MIPS, AAPMs and the New Alphabet Soup of Medicare Payment:  What </w:t>
      </w:r>
      <w:r w:rsidR="005F7F15">
        <w:rPr>
          <w:rFonts w:eastAsia="Calibri" w:cs="Times New Roman"/>
          <w:b/>
          <w:i/>
          <w:sz w:val="22"/>
        </w:rPr>
        <w:t xml:space="preserve">ASE members </w:t>
      </w:r>
      <w:r w:rsidRPr="00654E3A">
        <w:rPr>
          <w:rFonts w:eastAsia="Calibri" w:cs="Times New Roman"/>
          <w:b/>
          <w:i/>
          <w:sz w:val="22"/>
        </w:rPr>
        <w:t xml:space="preserve"> Need to Know</w:t>
      </w:r>
    </w:p>
    <w:p w:rsidR="00654E3A" w:rsidRDefault="00654E3A" w:rsidP="00CD557F">
      <w:pPr>
        <w:ind w:firstLine="720"/>
        <w:rPr>
          <w:rFonts w:eastAsia="Calibri" w:cs="Times New Roman"/>
          <w:sz w:val="22"/>
        </w:rPr>
      </w:pPr>
    </w:p>
    <w:p w:rsidR="00CD557F" w:rsidRDefault="00CD557F" w:rsidP="00CD557F">
      <w:pPr>
        <w:ind w:firstLine="720"/>
        <w:rPr>
          <w:rFonts w:eastAsia="Calibri" w:cs="Times New Roman"/>
          <w:color w:val="000000"/>
          <w:sz w:val="22"/>
        </w:rPr>
      </w:pPr>
      <w:r w:rsidRPr="00CD557F">
        <w:rPr>
          <w:rFonts w:eastAsia="Calibri" w:cs="Times New Roman"/>
          <w:sz w:val="22"/>
        </w:rPr>
        <w:t xml:space="preserve">CMS has released its </w:t>
      </w:r>
      <w:hyperlink r:id="rId8" w:history="1">
        <w:r w:rsidRPr="00CD557F">
          <w:rPr>
            <w:rFonts w:eastAsia="Calibri" w:cs="Times New Roman"/>
            <w:b/>
            <w:color w:val="548DD4"/>
            <w:sz w:val="22"/>
            <w:u w:val="single"/>
          </w:rPr>
          <w:t>proposed rule</w:t>
        </w:r>
      </w:hyperlink>
      <w:r w:rsidRPr="00CD557F">
        <w:rPr>
          <w:rFonts w:eastAsia="Calibri" w:cs="Times New Roman"/>
          <w:color w:val="000000"/>
          <w:sz w:val="22"/>
        </w:rPr>
        <w:t xml:space="preserve"> implementing the Merit-Based Incentive Payment System (MIPS) and the Alternative Payment Models (APMs).  These new payment systems, now being referred to by CMS as the “Quality Payment Program,” are required by the Medicare Access and CHIP Reauthorization Act of 2015 (MACRA), the same law that repealed the sustainable growth rate (SGR) methodology.  The proposed rule is almost 1,000 pages</w:t>
      </w:r>
      <w:r w:rsidR="005B6716">
        <w:rPr>
          <w:rFonts w:eastAsia="Calibri" w:cs="Times New Roman"/>
          <w:color w:val="000000"/>
          <w:sz w:val="22"/>
        </w:rPr>
        <w:t>;</w:t>
      </w:r>
      <w:r w:rsidR="005F7F15">
        <w:rPr>
          <w:rFonts w:eastAsia="Calibri" w:cs="Times New Roman"/>
          <w:color w:val="000000"/>
          <w:sz w:val="22"/>
        </w:rPr>
        <w:t xml:space="preserve"> </w:t>
      </w:r>
      <w:r w:rsidRPr="00CD557F">
        <w:rPr>
          <w:rFonts w:eastAsia="Calibri" w:cs="Times New Roman"/>
          <w:color w:val="000000"/>
          <w:sz w:val="22"/>
        </w:rPr>
        <w:t>a shorter summary</w:t>
      </w:r>
      <w:r w:rsidR="005F7F15">
        <w:rPr>
          <w:rFonts w:eastAsia="Calibri" w:cs="Times New Roman"/>
          <w:color w:val="000000"/>
          <w:sz w:val="22"/>
        </w:rPr>
        <w:t xml:space="preserve"> is</w:t>
      </w:r>
      <w:r w:rsidRPr="00CD557F">
        <w:rPr>
          <w:rFonts w:eastAsia="Calibri" w:cs="Times New Roman"/>
          <w:color w:val="000000"/>
          <w:sz w:val="22"/>
        </w:rPr>
        <w:t xml:space="preserve"> available on the CMS </w:t>
      </w:r>
      <w:hyperlink r:id="rId9" w:history="1">
        <w:r w:rsidRPr="005B6716">
          <w:rPr>
            <w:rFonts w:eastAsia="Calibri" w:cs="Times New Roman"/>
            <w:color w:val="548DD4"/>
            <w:sz w:val="22"/>
            <w:u w:val="single"/>
          </w:rPr>
          <w:t>website</w:t>
        </w:r>
        <w:r w:rsidR="005B6716" w:rsidRPr="005B6716">
          <w:rPr>
            <w:rFonts w:eastAsia="Calibri" w:cs="Times New Roman"/>
            <w:color w:val="548DD4"/>
            <w:sz w:val="22"/>
            <w:u w:val="single"/>
          </w:rPr>
          <w:t xml:space="preserve">; </w:t>
        </w:r>
        <w:r w:rsidR="005B6716" w:rsidRPr="005B6716">
          <w:rPr>
            <w:rFonts w:eastAsia="Calibri" w:cs="Times New Roman"/>
            <w:sz w:val="22"/>
          </w:rPr>
          <w:t>and the rule may change based on public comment.  So for now,</w:t>
        </w:r>
      </w:hyperlink>
      <w:r w:rsidR="005B6716">
        <w:rPr>
          <w:rFonts w:eastAsia="Calibri" w:cs="Times New Roman"/>
          <w:color w:val="000000"/>
          <w:sz w:val="22"/>
        </w:rPr>
        <w:t xml:space="preserve"> </w:t>
      </w:r>
      <w:r w:rsidR="005F7F15" w:rsidRPr="005B6716">
        <w:rPr>
          <w:rFonts w:eastAsia="Calibri" w:cs="Times New Roman"/>
          <w:color w:val="000000"/>
          <w:sz w:val="22"/>
        </w:rPr>
        <w:t>w</w:t>
      </w:r>
      <w:r w:rsidR="005F7F15">
        <w:rPr>
          <w:rFonts w:eastAsia="Calibri" w:cs="Times New Roman"/>
          <w:color w:val="000000"/>
          <w:sz w:val="22"/>
        </w:rPr>
        <w:t>hat do you REALLY need to know?</w:t>
      </w:r>
    </w:p>
    <w:p w:rsidR="00654E3A" w:rsidRDefault="00654E3A" w:rsidP="00CD557F">
      <w:pPr>
        <w:ind w:firstLine="720"/>
        <w:rPr>
          <w:rFonts w:eastAsia="Calibri" w:cs="Times New Roman"/>
          <w:color w:val="000000"/>
          <w:sz w:val="22"/>
        </w:rPr>
      </w:pPr>
    </w:p>
    <w:p w:rsidR="00A5708D" w:rsidRDefault="005F7F15" w:rsidP="005F7F15">
      <w:pPr>
        <w:pStyle w:val="ListParagraph"/>
        <w:numPr>
          <w:ilvl w:val="0"/>
          <w:numId w:val="4"/>
        </w:numPr>
        <w:rPr>
          <w:rFonts w:eastAsia="Calibri" w:cs="Times New Roman"/>
          <w:sz w:val="22"/>
        </w:rPr>
      </w:pPr>
      <w:r w:rsidRPr="005F7F15">
        <w:rPr>
          <w:rFonts w:eastAsia="Calibri" w:cs="Times New Roman"/>
          <w:sz w:val="22"/>
        </w:rPr>
        <w:t>Fundamentally, virtually all ASE members who do not derive substantial practice revenue from a risk-bearing ACO will be subject to a new Merit-based Incentive Payment System beginning in 2019</w:t>
      </w:r>
      <w:r>
        <w:rPr>
          <w:rFonts w:eastAsia="Calibri" w:cs="Times New Roman"/>
          <w:sz w:val="22"/>
        </w:rPr>
        <w:t xml:space="preserve">. </w:t>
      </w:r>
    </w:p>
    <w:p w:rsidR="00876500" w:rsidRDefault="00876500" w:rsidP="00876500">
      <w:pPr>
        <w:pStyle w:val="ListParagraph"/>
        <w:ind w:left="1260"/>
        <w:rPr>
          <w:rFonts w:eastAsia="Calibri" w:cs="Times New Roman"/>
          <w:sz w:val="22"/>
        </w:rPr>
      </w:pPr>
    </w:p>
    <w:p w:rsidR="00876500" w:rsidRPr="00876500" w:rsidRDefault="00876500" w:rsidP="00876500">
      <w:pPr>
        <w:pStyle w:val="ListParagraph"/>
        <w:numPr>
          <w:ilvl w:val="0"/>
          <w:numId w:val="4"/>
        </w:numPr>
        <w:rPr>
          <w:rFonts w:eastAsia="Calibri" w:cs="Times New Roman"/>
          <w:sz w:val="22"/>
        </w:rPr>
      </w:pPr>
      <w:r w:rsidRPr="00876500">
        <w:rPr>
          <w:rFonts w:eastAsia="Calibri" w:cs="Times New Roman"/>
          <w:sz w:val="22"/>
        </w:rPr>
        <w:t xml:space="preserve">By law, the program must be budget neutral, so reductions in payment for those who score poorly will fund the incentives of those who score highly.   CMS projects that cardiology will do very well as a specialty and that large practices generally will do much better than smaller practices.  </w:t>
      </w:r>
    </w:p>
    <w:p w:rsidR="005F7F15" w:rsidRDefault="005F7F15" w:rsidP="005F7F15">
      <w:pPr>
        <w:pStyle w:val="ListParagraph"/>
        <w:ind w:left="1260"/>
        <w:rPr>
          <w:rFonts w:eastAsia="Calibri" w:cs="Times New Roman"/>
          <w:sz w:val="22"/>
        </w:rPr>
      </w:pPr>
    </w:p>
    <w:p w:rsidR="005D7517" w:rsidRDefault="00A5708D" w:rsidP="00A5708D">
      <w:pPr>
        <w:pStyle w:val="ListParagraph"/>
        <w:numPr>
          <w:ilvl w:val="0"/>
          <w:numId w:val="4"/>
        </w:numPr>
        <w:rPr>
          <w:rFonts w:eastAsia="Calibri" w:cs="Times New Roman"/>
          <w:sz w:val="22"/>
        </w:rPr>
      </w:pPr>
      <w:r>
        <w:rPr>
          <w:rFonts w:eastAsia="Calibri" w:cs="Times New Roman"/>
          <w:sz w:val="22"/>
        </w:rPr>
        <w:t>Under MIPS, in 2019 Medicare payment for your services could go up or down by up to 4% depending on MIPS score</w:t>
      </w:r>
      <w:r w:rsidR="005D7517">
        <w:rPr>
          <w:rFonts w:eastAsia="Calibri" w:cs="Times New Roman"/>
          <w:sz w:val="22"/>
        </w:rPr>
        <w:t xml:space="preserve">.  By 2022, the amount at risk </w:t>
      </w:r>
      <w:r w:rsidR="005F7F15">
        <w:rPr>
          <w:rFonts w:eastAsia="Calibri" w:cs="Times New Roman"/>
          <w:sz w:val="22"/>
        </w:rPr>
        <w:t xml:space="preserve">(up and down) </w:t>
      </w:r>
      <w:r w:rsidR="005D7517">
        <w:rPr>
          <w:rFonts w:eastAsia="Calibri" w:cs="Times New Roman"/>
          <w:sz w:val="22"/>
        </w:rPr>
        <w:t xml:space="preserve">increases to 9%. </w:t>
      </w:r>
    </w:p>
    <w:p w:rsidR="005D7517" w:rsidRPr="005D7517" w:rsidRDefault="005D7517" w:rsidP="005D7517">
      <w:pPr>
        <w:pStyle w:val="ListParagraph"/>
        <w:rPr>
          <w:rFonts w:eastAsia="Calibri" w:cs="Times New Roman"/>
          <w:sz w:val="22"/>
        </w:rPr>
      </w:pPr>
    </w:p>
    <w:p w:rsidR="005D7517" w:rsidRDefault="005D7517" w:rsidP="00A5708D">
      <w:pPr>
        <w:pStyle w:val="ListParagraph"/>
        <w:numPr>
          <w:ilvl w:val="0"/>
          <w:numId w:val="4"/>
        </w:numPr>
        <w:rPr>
          <w:rFonts w:eastAsia="Calibri" w:cs="Times New Roman"/>
          <w:sz w:val="22"/>
        </w:rPr>
      </w:pPr>
      <w:r>
        <w:rPr>
          <w:rFonts w:eastAsia="Calibri" w:cs="Times New Roman"/>
          <w:sz w:val="22"/>
        </w:rPr>
        <w:t xml:space="preserve">An individual can receive either an individual or a group score.  </w:t>
      </w:r>
    </w:p>
    <w:p w:rsidR="005D7517" w:rsidRPr="005D7517" w:rsidRDefault="005D7517" w:rsidP="005D7517">
      <w:pPr>
        <w:pStyle w:val="ListParagraph"/>
        <w:rPr>
          <w:rFonts w:eastAsia="Calibri" w:cs="Times New Roman"/>
          <w:sz w:val="22"/>
        </w:rPr>
      </w:pPr>
    </w:p>
    <w:p w:rsidR="00A5708D" w:rsidRDefault="00A5708D" w:rsidP="00A5708D">
      <w:pPr>
        <w:pStyle w:val="ListParagraph"/>
        <w:numPr>
          <w:ilvl w:val="0"/>
          <w:numId w:val="4"/>
        </w:numPr>
        <w:rPr>
          <w:rFonts w:eastAsia="Calibri" w:cs="Times New Roman"/>
          <w:sz w:val="22"/>
        </w:rPr>
      </w:pPr>
      <w:r>
        <w:rPr>
          <w:rFonts w:eastAsia="Calibri" w:cs="Times New Roman"/>
          <w:sz w:val="22"/>
        </w:rPr>
        <w:t>MIPS score</w:t>
      </w:r>
      <w:r w:rsidR="005D7517">
        <w:rPr>
          <w:rFonts w:eastAsia="Calibri" w:cs="Times New Roman"/>
          <w:sz w:val="22"/>
        </w:rPr>
        <w:t>s</w:t>
      </w:r>
      <w:r>
        <w:rPr>
          <w:rFonts w:eastAsia="Calibri" w:cs="Times New Roman"/>
          <w:sz w:val="22"/>
        </w:rPr>
        <w:t xml:space="preserve"> </w:t>
      </w:r>
      <w:r w:rsidR="005D7517">
        <w:rPr>
          <w:rFonts w:eastAsia="Calibri" w:cs="Times New Roman"/>
          <w:sz w:val="22"/>
        </w:rPr>
        <w:t xml:space="preserve">for 2019 </w:t>
      </w:r>
      <w:r>
        <w:rPr>
          <w:rFonts w:eastAsia="Calibri" w:cs="Times New Roman"/>
          <w:sz w:val="22"/>
        </w:rPr>
        <w:t xml:space="preserve">will depend on performance in 2017. </w:t>
      </w:r>
    </w:p>
    <w:p w:rsidR="005F7F15" w:rsidRPr="005F7F15" w:rsidRDefault="005F7F15" w:rsidP="005F7F15">
      <w:pPr>
        <w:pStyle w:val="ListParagraph"/>
        <w:rPr>
          <w:rFonts w:eastAsia="Calibri" w:cs="Times New Roman"/>
          <w:sz w:val="22"/>
        </w:rPr>
      </w:pPr>
    </w:p>
    <w:p w:rsidR="005F7F15" w:rsidRDefault="005F7F15" w:rsidP="00A5708D">
      <w:pPr>
        <w:pStyle w:val="ListParagraph"/>
        <w:numPr>
          <w:ilvl w:val="0"/>
          <w:numId w:val="4"/>
        </w:numPr>
        <w:rPr>
          <w:rFonts w:eastAsia="Calibri" w:cs="Times New Roman"/>
          <w:sz w:val="22"/>
        </w:rPr>
      </w:pPr>
      <w:r>
        <w:rPr>
          <w:rFonts w:eastAsia="Calibri" w:cs="Times New Roman"/>
          <w:sz w:val="22"/>
        </w:rPr>
        <w:t xml:space="preserve">Special—and more lenient—rules would apply to “non-patient-facing” physicians, defined as those with 25 or fewer “patient-facing” encounters in the year (e.g. clinic visits). </w:t>
      </w:r>
    </w:p>
    <w:p w:rsidR="00A5708D" w:rsidRPr="00A5708D" w:rsidRDefault="00A5708D" w:rsidP="00A5708D">
      <w:pPr>
        <w:pStyle w:val="ListParagraph"/>
        <w:rPr>
          <w:rFonts w:eastAsia="Calibri" w:cs="Times New Roman"/>
          <w:sz w:val="22"/>
        </w:rPr>
      </w:pPr>
    </w:p>
    <w:p w:rsidR="00A5708D" w:rsidRDefault="005F7F15" w:rsidP="00A5708D">
      <w:pPr>
        <w:pStyle w:val="ListParagraph"/>
        <w:numPr>
          <w:ilvl w:val="0"/>
          <w:numId w:val="4"/>
        </w:numPr>
        <w:rPr>
          <w:rFonts w:eastAsia="Calibri" w:cs="Times New Roman"/>
          <w:sz w:val="22"/>
        </w:rPr>
      </w:pPr>
      <w:r>
        <w:rPr>
          <w:rFonts w:eastAsia="Calibri" w:cs="Times New Roman"/>
          <w:sz w:val="22"/>
        </w:rPr>
        <w:t>If you are not exempt from any of the MIPS categories, f</w:t>
      </w:r>
      <w:r w:rsidR="00A5708D">
        <w:rPr>
          <w:rFonts w:eastAsia="Calibri" w:cs="Times New Roman"/>
          <w:sz w:val="22"/>
        </w:rPr>
        <w:t>ifty percent (50%) of</w:t>
      </w:r>
      <w:r>
        <w:rPr>
          <w:rFonts w:eastAsia="Calibri" w:cs="Times New Roman"/>
          <w:sz w:val="22"/>
        </w:rPr>
        <w:t xml:space="preserve"> your</w:t>
      </w:r>
      <w:r w:rsidR="00A5708D">
        <w:rPr>
          <w:rFonts w:eastAsia="Calibri" w:cs="Times New Roman"/>
          <w:sz w:val="22"/>
        </w:rPr>
        <w:t xml:space="preserve"> MIPS score in 2019 will be based on whether you successfully report six quality measures, at least one of which must be a “cross cutting” measure and at least one of which must be an “outcomes” measure</w:t>
      </w:r>
      <w:r w:rsidR="00333A14">
        <w:rPr>
          <w:rFonts w:eastAsia="Calibri" w:cs="Times New Roman"/>
          <w:sz w:val="22"/>
        </w:rPr>
        <w:t>.</w:t>
      </w:r>
      <w:bookmarkStart w:id="0" w:name="_GoBack"/>
      <w:bookmarkEnd w:id="0"/>
      <w:r w:rsidR="00A5708D">
        <w:rPr>
          <w:rFonts w:eastAsia="Calibri" w:cs="Times New Roman"/>
          <w:sz w:val="22"/>
        </w:rPr>
        <w:t xml:space="preserve"> </w:t>
      </w:r>
    </w:p>
    <w:p w:rsidR="00A5708D" w:rsidRPr="00A5708D" w:rsidRDefault="00A5708D" w:rsidP="00A5708D">
      <w:pPr>
        <w:pStyle w:val="ListParagraph"/>
        <w:rPr>
          <w:rFonts w:eastAsia="Calibri" w:cs="Times New Roman"/>
          <w:sz w:val="22"/>
        </w:rPr>
      </w:pPr>
    </w:p>
    <w:p w:rsidR="00876500" w:rsidRPr="00876500" w:rsidRDefault="00AA5B65" w:rsidP="00AA5B65">
      <w:pPr>
        <w:pStyle w:val="ListParagraph"/>
        <w:numPr>
          <w:ilvl w:val="0"/>
          <w:numId w:val="5"/>
        </w:numPr>
        <w:rPr>
          <w:rFonts w:eastAsia="Calibri" w:cs="Times New Roman"/>
          <w:sz w:val="22"/>
        </w:rPr>
      </w:pPr>
      <w:r w:rsidRPr="00876500">
        <w:rPr>
          <w:rFonts w:eastAsia="Calibri" w:cs="Times New Roman"/>
          <w:sz w:val="22"/>
        </w:rPr>
        <w:t>Twenty five percent (</w:t>
      </w:r>
      <w:r w:rsidR="00A5708D" w:rsidRPr="00876500">
        <w:rPr>
          <w:rFonts w:eastAsia="Calibri" w:cs="Times New Roman"/>
          <w:sz w:val="22"/>
        </w:rPr>
        <w:t>25%</w:t>
      </w:r>
      <w:r w:rsidRPr="00876500">
        <w:rPr>
          <w:rFonts w:eastAsia="Calibri" w:cs="Times New Roman"/>
          <w:sz w:val="22"/>
        </w:rPr>
        <w:t>)</w:t>
      </w:r>
      <w:r w:rsidR="00A5708D" w:rsidRPr="00876500">
        <w:rPr>
          <w:rFonts w:eastAsia="Calibri" w:cs="Times New Roman"/>
          <w:sz w:val="22"/>
        </w:rPr>
        <w:t xml:space="preserve"> of </w:t>
      </w:r>
      <w:r w:rsidRPr="00876500">
        <w:rPr>
          <w:rFonts w:eastAsia="Calibri" w:cs="Times New Roman"/>
          <w:sz w:val="22"/>
        </w:rPr>
        <w:t xml:space="preserve">your MIPS score in 2019 will depend on your performance in a category called </w:t>
      </w:r>
      <w:r w:rsidR="00A5708D" w:rsidRPr="00876500">
        <w:rPr>
          <w:rFonts w:eastAsia="Calibri" w:cs="Times New Roman"/>
          <w:sz w:val="22"/>
        </w:rPr>
        <w:t>“Advancing Care Information</w:t>
      </w:r>
      <w:r w:rsidRPr="00876500">
        <w:rPr>
          <w:rFonts w:eastAsia="Calibri" w:cs="Times New Roman"/>
          <w:sz w:val="22"/>
        </w:rPr>
        <w:t>,</w:t>
      </w:r>
      <w:r w:rsidR="00A5708D" w:rsidRPr="00876500">
        <w:rPr>
          <w:rFonts w:eastAsia="Calibri" w:cs="Times New Roman"/>
          <w:sz w:val="22"/>
        </w:rPr>
        <w:t xml:space="preserve">” </w:t>
      </w:r>
      <w:r w:rsidRPr="00876500">
        <w:rPr>
          <w:rFonts w:eastAsia="Calibri" w:cs="Times New Roman"/>
          <w:sz w:val="22"/>
        </w:rPr>
        <w:t xml:space="preserve">which is basically the old Electronic Health Record </w:t>
      </w:r>
      <w:r w:rsidR="00A5708D" w:rsidRPr="00876500">
        <w:rPr>
          <w:rFonts w:eastAsia="Calibri" w:cs="Times New Roman"/>
          <w:sz w:val="22"/>
        </w:rPr>
        <w:t xml:space="preserve">“Meaningful Use” (MU) </w:t>
      </w:r>
      <w:r w:rsidRPr="00876500">
        <w:rPr>
          <w:rFonts w:eastAsia="Calibri" w:cs="Times New Roman"/>
          <w:sz w:val="22"/>
        </w:rPr>
        <w:t>program updated and made</w:t>
      </w:r>
      <w:r w:rsidR="004A3CE6" w:rsidRPr="00876500">
        <w:rPr>
          <w:rFonts w:eastAsia="Calibri" w:cs="Times New Roman"/>
          <w:sz w:val="22"/>
        </w:rPr>
        <w:t xml:space="preserve"> a bit </w:t>
      </w:r>
      <w:r w:rsidRPr="00876500">
        <w:rPr>
          <w:rFonts w:eastAsia="Calibri" w:cs="Times New Roman"/>
          <w:sz w:val="22"/>
        </w:rPr>
        <w:t xml:space="preserve"> more flexible. </w:t>
      </w:r>
      <w:r w:rsidR="00876500" w:rsidRPr="00876500">
        <w:rPr>
          <w:rFonts w:eastAsia="Calibri" w:cs="Times New Roman"/>
          <w:sz w:val="22"/>
        </w:rPr>
        <w:t xml:space="preserve">(See </w:t>
      </w:r>
      <w:r w:rsidRPr="00876500">
        <w:rPr>
          <w:rFonts w:eastAsia="Calibri" w:cs="Times New Roman"/>
          <w:sz w:val="22"/>
        </w:rPr>
        <w:t xml:space="preserve">the CMS </w:t>
      </w:r>
      <w:hyperlink r:id="rId10" w:history="1">
        <w:r w:rsidRPr="00876500">
          <w:rPr>
            <w:rFonts w:eastAsia="Calibri" w:cs="Times New Roman"/>
            <w:b/>
            <w:color w:val="548DD4"/>
            <w:sz w:val="22"/>
            <w:u w:val="single"/>
          </w:rPr>
          <w:t>website</w:t>
        </w:r>
      </w:hyperlink>
      <w:r w:rsidRPr="009B31BC">
        <w:rPr>
          <w:rFonts w:eastAsia="Calibri" w:cs="Times New Roman"/>
          <w:sz w:val="22"/>
        </w:rPr>
        <w:t>.</w:t>
      </w:r>
      <w:r w:rsidR="00876500" w:rsidRPr="009B31BC">
        <w:rPr>
          <w:rFonts w:eastAsia="Calibri" w:cs="Times New Roman"/>
          <w:sz w:val="22"/>
        </w:rPr>
        <w:t>)   Non-patient facing physicians are essentially automatically exempt from this category and if a</w:t>
      </w:r>
      <w:r w:rsidR="009B31BC">
        <w:rPr>
          <w:rFonts w:eastAsia="Calibri" w:cs="Times New Roman"/>
          <w:sz w:val="22"/>
        </w:rPr>
        <w:t xml:space="preserve"> </w:t>
      </w:r>
      <w:r w:rsidR="00876500" w:rsidRPr="00876500">
        <w:rPr>
          <w:szCs w:val="24"/>
        </w:rPr>
        <w:t xml:space="preserve">majority (50 percent or more) of your  outpatient encounters occur in a location where you have no control over the health IT decisions of the facility (e.g. a hospital), you could apply for a hardship exception.  The other MIPS categories are re-weighted if you are exempt. </w:t>
      </w:r>
    </w:p>
    <w:p w:rsidR="00876500" w:rsidRPr="00876500" w:rsidRDefault="00876500" w:rsidP="00876500">
      <w:pPr>
        <w:pStyle w:val="ListParagraph"/>
        <w:ind w:left="1080"/>
        <w:rPr>
          <w:rFonts w:eastAsia="Calibri" w:cs="Times New Roman"/>
          <w:sz w:val="22"/>
        </w:rPr>
      </w:pPr>
    </w:p>
    <w:p w:rsidR="00AA5B65" w:rsidRDefault="00876500" w:rsidP="00AA5B65">
      <w:pPr>
        <w:pStyle w:val="ListParagraph"/>
        <w:numPr>
          <w:ilvl w:val="0"/>
          <w:numId w:val="5"/>
        </w:numPr>
        <w:rPr>
          <w:rFonts w:eastAsia="Calibri" w:cs="Times New Roman"/>
          <w:sz w:val="22"/>
        </w:rPr>
      </w:pPr>
      <w:r w:rsidRPr="00876500">
        <w:rPr>
          <w:rFonts w:eastAsia="Calibri" w:cs="Times New Roman"/>
          <w:sz w:val="22"/>
        </w:rPr>
        <w:t xml:space="preserve">Fifteen </w:t>
      </w:r>
      <w:r w:rsidR="00AA5B65" w:rsidRPr="00876500">
        <w:rPr>
          <w:rFonts w:eastAsia="Calibri" w:cs="Times New Roman"/>
          <w:sz w:val="22"/>
        </w:rPr>
        <w:t xml:space="preserve"> percent (15%) of your MIPS score in 2019 will depend on your performance in a new “Clinical Practice Improvement Activity” (CPIA) category, and will require that you attest that </w:t>
      </w:r>
      <w:r w:rsidR="00257DBF" w:rsidRPr="00876500">
        <w:rPr>
          <w:rFonts w:eastAsia="Calibri" w:cs="Times New Roman"/>
          <w:sz w:val="22"/>
        </w:rPr>
        <w:t xml:space="preserve">you </w:t>
      </w:r>
      <w:r w:rsidR="00AA5B65" w:rsidRPr="00876500">
        <w:rPr>
          <w:rFonts w:eastAsia="Calibri" w:cs="Times New Roman"/>
          <w:sz w:val="22"/>
        </w:rPr>
        <w:t xml:space="preserve">performed </w:t>
      </w:r>
      <w:r w:rsidR="007369AF">
        <w:rPr>
          <w:rFonts w:eastAsia="Calibri" w:cs="Times New Roman"/>
          <w:sz w:val="22"/>
        </w:rPr>
        <w:t>3-6 CPIAs (</w:t>
      </w:r>
      <w:r w:rsidR="00AA5B65" w:rsidRPr="00876500">
        <w:rPr>
          <w:rFonts w:eastAsia="Calibri" w:cs="Times New Roman"/>
          <w:sz w:val="22"/>
        </w:rPr>
        <w:t>2</w:t>
      </w:r>
      <w:r w:rsidR="009B31BC">
        <w:rPr>
          <w:rFonts w:eastAsia="Calibri" w:cs="Times New Roman"/>
          <w:sz w:val="22"/>
        </w:rPr>
        <w:t xml:space="preserve"> </w:t>
      </w:r>
      <w:r w:rsidR="00AA5B65" w:rsidRPr="00876500">
        <w:rPr>
          <w:rFonts w:eastAsia="Calibri" w:cs="Times New Roman"/>
          <w:sz w:val="22"/>
        </w:rPr>
        <w:t>CPIAs</w:t>
      </w:r>
      <w:r w:rsidR="007369AF">
        <w:rPr>
          <w:rFonts w:eastAsia="Calibri" w:cs="Times New Roman"/>
          <w:sz w:val="22"/>
        </w:rPr>
        <w:t xml:space="preserve"> for non-patient facing physicians), that are </w:t>
      </w:r>
      <w:r w:rsidR="00AA5B65" w:rsidRPr="00876500">
        <w:rPr>
          <w:rFonts w:eastAsia="Calibri" w:cs="Times New Roman"/>
          <w:sz w:val="22"/>
        </w:rPr>
        <w:t xml:space="preserve"> chosen from a list of 90</w:t>
      </w:r>
      <w:r w:rsidR="007369AF">
        <w:rPr>
          <w:rFonts w:eastAsia="Calibri" w:cs="Times New Roman"/>
          <w:sz w:val="22"/>
        </w:rPr>
        <w:t>,</w:t>
      </w:r>
      <w:r w:rsidR="00AA5B65" w:rsidRPr="00876500">
        <w:rPr>
          <w:rFonts w:eastAsia="Calibri" w:cs="Times New Roman"/>
          <w:sz w:val="22"/>
        </w:rPr>
        <w:t xml:space="preserve"> for at least 90 days in 2017.  </w:t>
      </w:r>
    </w:p>
    <w:p w:rsidR="00876500" w:rsidRPr="00876500" w:rsidRDefault="00876500" w:rsidP="00876500">
      <w:pPr>
        <w:pStyle w:val="ListParagraph"/>
        <w:rPr>
          <w:rFonts w:eastAsia="Calibri" w:cs="Times New Roman"/>
          <w:sz w:val="22"/>
        </w:rPr>
      </w:pPr>
    </w:p>
    <w:p w:rsidR="00AA5B65" w:rsidRPr="00CD557F" w:rsidRDefault="00AA5B65" w:rsidP="00AA5B65">
      <w:pPr>
        <w:pStyle w:val="ListParagraph"/>
        <w:numPr>
          <w:ilvl w:val="0"/>
          <w:numId w:val="5"/>
        </w:numPr>
        <w:rPr>
          <w:rFonts w:eastAsia="Calibri" w:cs="Times New Roman"/>
          <w:sz w:val="22"/>
        </w:rPr>
      </w:pPr>
      <w:r>
        <w:rPr>
          <w:rFonts w:eastAsia="Calibri" w:cs="Times New Roman"/>
          <w:sz w:val="22"/>
        </w:rPr>
        <w:t xml:space="preserve">Ten percent (10%) of your MIPS score in 2019 will depend on your performance in the cost/resource use category. </w:t>
      </w:r>
      <w:r w:rsidR="00876500">
        <w:rPr>
          <w:rFonts w:eastAsia="Calibri" w:cs="Times New Roman"/>
          <w:sz w:val="22"/>
        </w:rPr>
        <w:t xml:space="preserve">Beneficiaries are not likely to be assigned to non-patient-facing physicians for this category; however, </w:t>
      </w:r>
      <w:r w:rsidR="001D0211">
        <w:rPr>
          <w:rFonts w:eastAsia="Calibri" w:cs="Times New Roman"/>
          <w:sz w:val="22"/>
        </w:rPr>
        <w:t xml:space="preserve">under this category CMS will be tracking resource use for a </w:t>
      </w:r>
      <w:r w:rsidR="00876500">
        <w:rPr>
          <w:rFonts w:eastAsia="Calibri" w:cs="Times New Roman"/>
          <w:sz w:val="22"/>
        </w:rPr>
        <w:t xml:space="preserve">number of cardiovascular “episodes” so those ASE members who provide patient-facing services may receive a score.   The </w:t>
      </w:r>
      <w:r w:rsidR="005D7517">
        <w:rPr>
          <w:rFonts w:eastAsia="Calibri" w:cs="Times New Roman"/>
          <w:sz w:val="22"/>
        </w:rPr>
        <w:t xml:space="preserve">other three MIPS performance categories will receive greater weight for physicians who are not scored on the cost/resource use category. </w:t>
      </w:r>
      <w:r>
        <w:rPr>
          <w:rFonts w:eastAsia="Calibri" w:cs="Times New Roman"/>
          <w:sz w:val="22"/>
        </w:rPr>
        <w:t xml:space="preserve"> </w:t>
      </w:r>
    </w:p>
    <w:p w:rsidR="00CD557F" w:rsidRPr="00CD557F" w:rsidRDefault="00CD557F" w:rsidP="00CD557F">
      <w:pPr>
        <w:ind w:left="720"/>
        <w:rPr>
          <w:rFonts w:eastAsia="Calibri" w:cs="Times New Roman"/>
          <w:b/>
          <w:sz w:val="22"/>
        </w:rPr>
      </w:pPr>
    </w:p>
    <w:p w:rsidR="007166B8" w:rsidRDefault="007166B8" w:rsidP="007166B8">
      <w:pPr>
        <w:rPr>
          <w:rFonts w:eastAsia="Calibri" w:cs="Times New Roman"/>
          <w:sz w:val="22"/>
        </w:rPr>
      </w:pPr>
    </w:p>
    <w:p w:rsidR="007166B8" w:rsidRDefault="007166B8">
      <w:pPr>
        <w:rPr>
          <w:rFonts w:eastAsia="Calibri" w:cs="Times New Roman"/>
          <w:sz w:val="22"/>
        </w:rPr>
      </w:pPr>
      <w:r>
        <w:rPr>
          <w:rFonts w:eastAsia="Calibri" w:cs="Times New Roman"/>
          <w:sz w:val="22"/>
        </w:rPr>
        <w:br w:type="page"/>
      </w:r>
    </w:p>
    <w:p w:rsidR="00E45562" w:rsidRDefault="007166B8" w:rsidP="00E45562">
      <w:pPr>
        <w:jc w:val="center"/>
        <w:rPr>
          <w:b/>
        </w:rPr>
      </w:pPr>
      <w:r>
        <w:rPr>
          <w:rFonts w:eastAsia="Calibri" w:cs="Times New Roman"/>
          <w:sz w:val="22"/>
        </w:rPr>
        <w:lastRenderedPageBreak/>
        <w:t xml:space="preserve"> </w:t>
      </w:r>
      <w:r w:rsidR="00E45562" w:rsidRPr="00B95BCC">
        <w:rPr>
          <w:b/>
        </w:rPr>
        <w:t>Attachment A:  Proposed MIPS Quality Measures Relevant To Radiation Oncologists</w:t>
      </w:r>
    </w:p>
    <w:p w:rsidR="00E45562" w:rsidRDefault="00E45562" w:rsidP="00E45562">
      <w:pPr>
        <w:jc w:val="center"/>
        <w:rPr>
          <w:b/>
        </w:rPr>
      </w:pPr>
    </w:p>
    <w:p w:rsidR="00E45562" w:rsidRDefault="00E45562" w:rsidP="00E45562">
      <w:pPr>
        <w:rPr>
          <w:b/>
        </w:rPr>
      </w:pPr>
      <w:r>
        <w:rPr>
          <w:b/>
          <w:noProof/>
        </w:rPr>
        <w:drawing>
          <wp:inline distT="0" distB="0" distL="0" distR="0" wp14:anchorId="05CD489A" wp14:editId="2F66FF88">
            <wp:extent cx="5943600" cy="957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57580"/>
                    </a:xfrm>
                    <a:prstGeom prst="rect">
                      <a:avLst/>
                    </a:prstGeom>
                    <a:noFill/>
                    <a:ln>
                      <a:noFill/>
                    </a:ln>
                  </pic:spPr>
                </pic:pic>
              </a:graphicData>
            </a:graphic>
          </wp:inline>
        </w:drawing>
      </w:r>
    </w:p>
    <w:p w:rsidR="00E45562" w:rsidRDefault="00E45562" w:rsidP="00E45562">
      <w:pPr>
        <w:rPr>
          <w:b/>
        </w:rPr>
      </w:pPr>
    </w:p>
    <w:p w:rsidR="00E45562" w:rsidRDefault="00E45562" w:rsidP="00E45562">
      <w:pPr>
        <w:rPr>
          <w:b/>
          <w:noProof/>
        </w:rPr>
      </w:pPr>
      <w:r>
        <w:rPr>
          <w:b/>
          <w:noProof/>
        </w:rPr>
        <w:drawing>
          <wp:inline distT="0" distB="0" distL="0" distR="0" wp14:anchorId="12471A35" wp14:editId="4CC51CE0">
            <wp:extent cx="5943600" cy="154073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540735"/>
                    </a:xfrm>
                    <a:prstGeom prst="rect">
                      <a:avLst/>
                    </a:prstGeom>
                    <a:noFill/>
                    <a:ln>
                      <a:noFill/>
                    </a:ln>
                  </pic:spPr>
                </pic:pic>
              </a:graphicData>
            </a:graphic>
          </wp:inline>
        </w:drawing>
      </w:r>
      <w:r w:rsidRPr="00B95BCC">
        <w:rPr>
          <w:b/>
          <w:noProof/>
        </w:rPr>
        <w:t xml:space="preserve"> </w:t>
      </w:r>
      <w:r>
        <w:rPr>
          <w:b/>
          <w:noProof/>
        </w:rPr>
        <w:drawing>
          <wp:inline distT="0" distB="0" distL="0" distR="0" wp14:anchorId="5E5B75E1" wp14:editId="75C6169F">
            <wp:extent cx="5943600" cy="170737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707376"/>
                    </a:xfrm>
                    <a:prstGeom prst="rect">
                      <a:avLst/>
                    </a:prstGeom>
                    <a:noFill/>
                    <a:ln>
                      <a:noFill/>
                    </a:ln>
                  </pic:spPr>
                </pic:pic>
              </a:graphicData>
            </a:graphic>
          </wp:inline>
        </w:drawing>
      </w:r>
      <w:r>
        <w:rPr>
          <w:b/>
          <w:noProof/>
        </w:rPr>
        <w:drawing>
          <wp:inline distT="0" distB="0" distL="0" distR="0" wp14:anchorId="0D56BD2D" wp14:editId="53A42370">
            <wp:extent cx="5938778" cy="25146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516642"/>
                    </a:xfrm>
                    <a:prstGeom prst="rect">
                      <a:avLst/>
                    </a:prstGeom>
                    <a:noFill/>
                    <a:ln>
                      <a:noFill/>
                    </a:ln>
                  </pic:spPr>
                </pic:pic>
              </a:graphicData>
            </a:graphic>
          </wp:inline>
        </w:drawing>
      </w:r>
    </w:p>
    <w:p w:rsidR="00E45562" w:rsidRDefault="00E45562" w:rsidP="00E45562">
      <w:pPr>
        <w:rPr>
          <w:b/>
          <w:noProof/>
        </w:rPr>
      </w:pPr>
    </w:p>
    <w:p w:rsidR="00E45562" w:rsidRDefault="00E45562" w:rsidP="00E45562">
      <w:pPr>
        <w:rPr>
          <w:b/>
          <w:noProof/>
        </w:rPr>
      </w:pPr>
    </w:p>
    <w:p w:rsidR="00E45562" w:rsidRDefault="00E45562" w:rsidP="00E45562">
      <w:pPr>
        <w:rPr>
          <w:b/>
          <w:noProof/>
        </w:rPr>
      </w:pPr>
    </w:p>
    <w:p w:rsidR="00E45562" w:rsidRDefault="00E45562" w:rsidP="00E45562">
      <w:pPr>
        <w:rPr>
          <w:b/>
          <w:noProof/>
        </w:rPr>
      </w:pPr>
    </w:p>
    <w:p w:rsidR="00E45562" w:rsidRDefault="00E45562" w:rsidP="00E45562">
      <w:pPr>
        <w:rPr>
          <w:b/>
          <w:noProof/>
        </w:rPr>
      </w:pPr>
    </w:p>
    <w:p w:rsidR="00E45562" w:rsidRDefault="00E45562" w:rsidP="00E45562">
      <w:pPr>
        <w:rPr>
          <w:b/>
          <w:noProof/>
        </w:rPr>
      </w:pPr>
    </w:p>
    <w:p w:rsidR="00E45562" w:rsidRDefault="00E45562" w:rsidP="00E45562">
      <w:pPr>
        <w:rPr>
          <w:b/>
          <w:noProof/>
        </w:rPr>
      </w:pPr>
      <w:r>
        <w:rPr>
          <w:b/>
          <w:noProof/>
        </w:rPr>
        <w:lastRenderedPageBreak/>
        <w:drawing>
          <wp:inline distT="0" distB="0" distL="0" distR="0" wp14:anchorId="5486E094" wp14:editId="55626774">
            <wp:extent cx="5943600" cy="9575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57580"/>
                    </a:xfrm>
                    <a:prstGeom prst="rect">
                      <a:avLst/>
                    </a:prstGeom>
                    <a:noFill/>
                    <a:ln>
                      <a:noFill/>
                    </a:ln>
                  </pic:spPr>
                </pic:pic>
              </a:graphicData>
            </a:graphic>
          </wp:inline>
        </w:drawing>
      </w:r>
    </w:p>
    <w:p w:rsidR="00E45562" w:rsidRDefault="00E45562" w:rsidP="00E45562">
      <w:pPr>
        <w:rPr>
          <w:b/>
          <w:noProof/>
        </w:rPr>
      </w:pPr>
    </w:p>
    <w:p w:rsidR="00E45562" w:rsidRDefault="00E45562" w:rsidP="00E45562">
      <w:pPr>
        <w:rPr>
          <w:b/>
          <w:noProof/>
        </w:rPr>
      </w:pPr>
      <w:r>
        <w:rPr>
          <w:b/>
          <w:noProof/>
        </w:rPr>
        <w:drawing>
          <wp:inline distT="0" distB="0" distL="0" distR="0" wp14:anchorId="28F89281" wp14:editId="63192DB0">
            <wp:extent cx="5943600" cy="212386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123861"/>
                    </a:xfrm>
                    <a:prstGeom prst="rect">
                      <a:avLst/>
                    </a:prstGeom>
                    <a:noFill/>
                    <a:ln>
                      <a:noFill/>
                    </a:ln>
                  </pic:spPr>
                </pic:pic>
              </a:graphicData>
            </a:graphic>
          </wp:inline>
        </w:drawing>
      </w:r>
    </w:p>
    <w:p w:rsidR="00E45562" w:rsidRDefault="00E45562" w:rsidP="00E45562">
      <w:pPr>
        <w:rPr>
          <w:b/>
          <w:noProof/>
        </w:rPr>
      </w:pPr>
      <w:r>
        <w:rPr>
          <w:b/>
          <w:noProof/>
        </w:rPr>
        <w:drawing>
          <wp:inline distT="0" distB="0" distL="0" distR="0" wp14:anchorId="4181E94F" wp14:editId="2FE05A69">
            <wp:extent cx="5943600" cy="1476538"/>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76538"/>
                    </a:xfrm>
                    <a:prstGeom prst="rect">
                      <a:avLst/>
                    </a:prstGeom>
                    <a:noFill/>
                    <a:ln>
                      <a:noFill/>
                    </a:ln>
                  </pic:spPr>
                </pic:pic>
              </a:graphicData>
            </a:graphic>
          </wp:inline>
        </w:drawing>
      </w:r>
      <w:r>
        <w:rPr>
          <w:b/>
          <w:noProof/>
        </w:rPr>
        <w:drawing>
          <wp:inline distT="0" distB="0" distL="0" distR="0" wp14:anchorId="0FF57B1F" wp14:editId="57811479">
            <wp:extent cx="5943600" cy="2018784"/>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018784"/>
                    </a:xfrm>
                    <a:prstGeom prst="rect">
                      <a:avLst/>
                    </a:prstGeom>
                    <a:noFill/>
                    <a:ln>
                      <a:noFill/>
                    </a:ln>
                  </pic:spPr>
                </pic:pic>
              </a:graphicData>
            </a:graphic>
          </wp:inline>
        </w:drawing>
      </w:r>
      <w:r>
        <w:rPr>
          <w:b/>
          <w:noProof/>
        </w:rPr>
        <w:drawing>
          <wp:inline distT="0" distB="0" distL="0" distR="0" wp14:anchorId="7E9F7AAD" wp14:editId="47324CC3">
            <wp:extent cx="5943600" cy="8399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839915"/>
                    </a:xfrm>
                    <a:prstGeom prst="rect">
                      <a:avLst/>
                    </a:prstGeom>
                    <a:noFill/>
                    <a:ln>
                      <a:noFill/>
                    </a:ln>
                  </pic:spPr>
                </pic:pic>
              </a:graphicData>
            </a:graphic>
          </wp:inline>
        </w:drawing>
      </w:r>
      <w:r>
        <w:rPr>
          <w:b/>
          <w:noProof/>
        </w:rPr>
        <w:drawing>
          <wp:inline distT="0" distB="0" distL="0" distR="0" wp14:anchorId="74DD5912" wp14:editId="6AAEF3F5">
            <wp:extent cx="5943600" cy="5422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42280"/>
                    </a:xfrm>
                    <a:prstGeom prst="rect">
                      <a:avLst/>
                    </a:prstGeom>
                    <a:noFill/>
                    <a:ln>
                      <a:noFill/>
                    </a:ln>
                  </pic:spPr>
                </pic:pic>
              </a:graphicData>
            </a:graphic>
          </wp:inline>
        </w:drawing>
      </w:r>
      <w:r>
        <w:rPr>
          <w:b/>
          <w:noProof/>
        </w:rPr>
        <w:drawing>
          <wp:inline distT="0" distB="0" distL="0" distR="0" wp14:anchorId="162093CB" wp14:editId="7AD286AB">
            <wp:extent cx="5943600" cy="5422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42280"/>
                    </a:xfrm>
                    <a:prstGeom prst="rect">
                      <a:avLst/>
                    </a:prstGeom>
                    <a:noFill/>
                    <a:ln>
                      <a:noFill/>
                    </a:ln>
                  </pic:spPr>
                </pic:pic>
              </a:graphicData>
            </a:graphic>
          </wp:inline>
        </w:drawing>
      </w:r>
    </w:p>
    <w:p w:rsidR="00E45562" w:rsidRDefault="00E45562" w:rsidP="00E45562">
      <w:pPr>
        <w:rPr>
          <w:b/>
          <w:noProof/>
        </w:rPr>
      </w:pPr>
    </w:p>
    <w:p w:rsidR="00E45562" w:rsidRDefault="00E45562" w:rsidP="00E45562">
      <w:pPr>
        <w:rPr>
          <w:b/>
        </w:rPr>
      </w:pPr>
      <w:r>
        <w:rPr>
          <w:b/>
          <w:noProof/>
        </w:rPr>
        <w:lastRenderedPageBreak/>
        <w:drawing>
          <wp:inline distT="0" distB="0" distL="0" distR="0" wp14:anchorId="7D9CBE50" wp14:editId="013E0F1C">
            <wp:extent cx="5943600" cy="14763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476375"/>
                    </a:xfrm>
                    <a:prstGeom prst="rect">
                      <a:avLst/>
                    </a:prstGeom>
                    <a:noFill/>
                    <a:ln>
                      <a:noFill/>
                    </a:ln>
                  </pic:spPr>
                </pic:pic>
              </a:graphicData>
            </a:graphic>
          </wp:inline>
        </w:drawing>
      </w:r>
    </w:p>
    <w:p w:rsidR="00E45562" w:rsidRDefault="00E45562" w:rsidP="00E45562">
      <w:pPr>
        <w:rPr>
          <w:b/>
        </w:rPr>
      </w:pPr>
    </w:p>
    <w:p w:rsidR="00E45562" w:rsidRDefault="00E45562" w:rsidP="00E45562">
      <w:pPr>
        <w:rPr>
          <w:b/>
        </w:rPr>
      </w:pPr>
    </w:p>
    <w:p w:rsidR="00E45562" w:rsidRDefault="00E45562" w:rsidP="00E45562">
      <w:pPr>
        <w:rPr>
          <w:b/>
        </w:rPr>
      </w:pPr>
    </w:p>
    <w:p w:rsidR="00E45562" w:rsidRDefault="00E45562" w:rsidP="00E45562">
      <w:pPr>
        <w:rPr>
          <w:b/>
        </w:rPr>
      </w:pPr>
      <w:r>
        <w:rPr>
          <w:b/>
        </w:rPr>
        <w:br w:type="page"/>
      </w:r>
    </w:p>
    <w:p w:rsidR="00E45562" w:rsidRDefault="00E45562" w:rsidP="00E45562">
      <w:pPr>
        <w:jc w:val="center"/>
        <w:rPr>
          <w:b/>
        </w:rPr>
      </w:pPr>
      <w:r>
        <w:rPr>
          <w:b/>
        </w:rPr>
        <w:lastRenderedPageBreak/>
        <w:t>Attachment B:  CPIAs Relevant to Radiation Oncologists</w:t>
      </w:r>
    </w:p>
    <w:p w:rsidR="00E45562" w:rsidRDefault="00E45562" w:rsidP="00E45562">
      <w:pPr>
        <w:jc w:val="center"/>
        <w:rPr>
          <w:b/>
        </w:rPr>
      </w:pPr>
    </w:p>
    <w:p w:rsidR="00E45562" w:rsidRDefault="00E45562" w:rsidP="00E45562">
      <w:pPr>
        <w:jc w:val="center"/>
        <w:rPr>
          <w:b/>
        </w:rPr>
      </w:pPr>
    </w:p>
    <w:p w:rsidR="00E45562" w:rsidRDefault="00E45562" w:rsidP="00E45562">
      <w:pPr>
        <w:jc w:val="center"/>
        <w:rPr>
          <w:b/>
        </w:rPr>
      </w:pPr>
      <w:r>
        <w:rPr>
          <w:b/>
          <w:noProof/>
        </w:rPr>
        <w:drawing>
          <wp:inline distT="0" distB="0" distL="0" distR="0" wp14:anchorId="717F4853" wp14:editId="3B0687B9">
            <wp:extent cx="5838825" cy="26991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8825" cy="269913"/>
                    </a:xfrm>
                    <a:prstGeom prst="rect">
                      <a:avLst/>
                    </a:prstGeom>
                    <a:noFill/>
                    <a:ln>
                      <a:noFill/>
                    </a:ln>
                  </pic:spPr>
                </pic:pic>
              </a:graphicData>
            </a:graphic>
          </wp:inline>
        </w:drawing>
      </w:r>
    </w:p>
    <w:p w:rsidR="00E45562" w:rsidRDefault="00E45562" w:rsidP="00E45562">
      <w:pPr>
        <w:jc w:val="center"/>
        <w:rPr>
          <w:b/>
        </w:rPr>
      </w:pPr>
    </w:p>
    <w:p w:rsidR="00E45562" w:rsidRPr="00B95BCC" w:rsidRDefault="00E45562" w:rsidP="00E45562">
      <w:pPr>
        <w:jc w:val="center"/>
        <w:rPr>
          <w:b/>
        </w:rPr>
      </w:pPr>
      <w:r>
        <w:rPr>
          <w:b/>
          <w:noProof/>
        </w:rPr>
        <w:drawing>
          <wp:inline distT="0" distB="0" distL="0" distR="0" wp14:anchorId="7CB4DA46" wp14:editId="4126A764">
            <wp:extent cx="5943600" cy="124121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241212"/>
                    </a:xfrm>
                    <a:prstGeom prst="rect">
                      <a:avLst/>
                    </a:prstGeom>
                    <a:noFill/>
                    <a:ln>
                      <a:noFill/>
                    </a:ln>
                  </pic:spPr>
                </pic:pic>
              </a:graphicData>
            </a:graphic>
          </wp:inline>
        </w:drawing>
      </w:r>
      <w:r>
        <w:rPr>
          <w:b/>
          <w:noProof/>
        </w:rPr>
        <w:drawing>
          <wp:inline distT="0" distB="0" distL="0" distR="0" wp14:anchorId="5E7E6CF7" wp14:editId="33272D5B">
            <wp:extent cx="5943600" cy="42649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26496"/>
                    </a:xfrm>
                    <a:prstGeom prst="rect">
                      <a:avLst/>
                    </a:prstGeom>
                    <a:noFill/>
                    <a:ln>
                      <a:noFill/>
                    </a:ln>
                  </pic:spPr>
                </pic:pic>
              </a:graphicData>
            </a:graphic>
          </wp:inline>
        </w:drawing>
      </w:r>
      <w:r>
        <w:rPr>
          <w:b/>
          <w:noProof/>
        </w:rPr>
        <w:drawing>
          <wp:inline distT="0" distB="0" distL="0" distR="0" wp14:anchorId="076615F1" wp14:editId="72647D6A">
            <wp:extent cx="5943600" cy="642106"/>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642106"/>
                    </a:xfrm>
                    <a:prstGeom prst="rect">
                      <a:avLst/>
                    </a:prstGeom>
                    <a:noFill/>
                    <a:ln>
                      <a:noFill/>
                    </a:ln>
                  </pic:spPr>
                </pic:pic>
              </a:graphicData>
            </a:graphic>
          </wp:inline>
        </w:drawing>
      </w:r>
      <w:r>
        <w:rPr>
          <w:b/>
          <w:noProof/>
        </w:rPr>
        <w:drawing>
          <wp:inline distT="0" distB="0" distL="0" distR="0" wp14:anchorId="00A25AF1" wp14:editId="6F877AB5">
            <wp:extent cx="5943600" cy="310527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3105272"/>
                    </a:xfrm>
                    <a:prstGeom prst="rect">
                      <a:avLst/>
                    </a:prstGeom>
                    <a:noFill/>
                    <a:ln>
                      <a:noFill/>
                    </a:ln>
                  </pic:spPr>
                </pic:pic>
              </a:graphicData>
            </a:graphic>
          </wp:inline>
        </w:drawing>
      </w:r>
      <w:r>
        <w:rPr>
          <w:b/>
          <w:noProof/>
        </w:rPr>
        <w:drawing>
          <wp:inline distT="0" distB="0" distL="0" distR="0" wp14:anchorId="07A7B9F9" wp14:editId="48964871">
            <wp:extent cx="5943600" cy="65614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656147"/>
                    </a:xfrm>
                    <a:prstGeom prst="rect">
                      <a:avLst/>
                    </a:prstGeom>
                    <a:noFill/>
                    <a:ln>
                      <a:noFill/>
                    </a:ln>
                  </pic:spPr>
                </pic:pic>
              </a:graphicData>
            </a:graphic>
          </wp:inline>
        </w:drawing>
      </w:r>
      <w:r>
        <w:rPr>
          <w:noProof/>
        </w:rPr>
        <w:lastRenderedPageBreak/>
        <w:drawing>
          <wp:inline distT="0" distB="0" distL="0" distR="0" wp14:anchorId="0C1052E6" wp14:editId="6948EA3D">
            <wp:extent cx="5943600" cy="554228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3600" cy="5542280"/>
                    </a:xfrm>
                    <a:prstGeom prst="rect">
                      <a:avLst/>
                    </a:prstGeom>
                  </pic:spPr>
                </pic:pic>
              </a:graphicData>
            </a:graphic>
          </wp:inline>
        </w:drawing>
      </w:r>
      <w:r>
        <w:rPr>
          <w:b/>
          <w:noProof/>
        </w:rPr>
        <w:drawing>
          <wp:inline distT="0" distB="0" distL="0" distR="0" wp14:anchorId="4E6047E6" wp14:editId="5EB3278E">
            <wp:extent cx="5943600" cy="171691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1716918"/>
                    </a:xfrm>
                    <a:prstGeom prst="rect">
                      <a:avLst/>
                    </a:prstGeom>
                    <a:noFill/>
                    <a:ln>
                      <a:noFill/>
                    </a:ln>
                  </pic:spPr>
                </pic:pic>
              </a:graphicData>
            </a:graphic>
          </wp:inline>
        </w:drawing>
      </w:r>
    </w:p>
    <w:p w:rsidR="007166B8" w:rsidRDefault="007166B8">
      <w:pPr>
        <w:rPr>
          <w:rFonts w:eastAsia="Calibri" w:cs="Times New Roman"/>
          <w:sz w:val="22"/>
        </w:rPr>
      </w:pPr>
      <w:r>
        <w:rPr>
          <w:rFonts w:eastAsia="Calibri" w:cs="Times New Roman"/>
          <w:sz w:val="22"/>
        </w:rPr>
        <w:br w:type="page"/>
      </w:r>
    </w:p>
    <w:p w:rsidR="00CD557F" w:rsidRPr="007166B8" w:rsidRDefault="00CD557F" w:rsidP="007166B8">
      <w:pPr>
        <w:rPr>
          <w:rFonts w:eastAsia="Calibri" w:cs="Times New Roman"/>
          <w:sz w:val="22"/>
        </w:rPr>
      </w:pPr>
    </w:p>
    <w:sectPr w:rsidR="00CD557F" w:rsidRPr="007166B8" w:rsidSect="004D607A">
      <w:headerReference w:type="even" r:id="rId30"/>
      <w:headerReference w:type="default" r:id="rId31"/>
      <w:footerReference w:type="even" r:id="rId32"/>
      <w:footerReference w:type="default" r:id="rId33"/>
      <w:headerReference w:type="first" r:id="rId34"/>
      <w:footerReference w:type="first" r:id="rId35"/>
      <w:pgSz w:w="12240" w:h="15840" w:code="1"/>
      <w:pgMar w:top="1008" w:right="1260" w:bottom="720" w:left="1440" w:header="720" w:footer="69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57F" w:rsidRDefault="00CD557F" w:rsidP="00CD557F">
      <w:r>
        <w:separator/>
      </w:r>
    </w:p>
  </w:endnote>
  <w:endnote w:type="continuationSeparator" w:id="0">
    <w:p w:rsidR="00CD557F" w:rsidRDefault="00CD557F" w:rsidP="00CD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562" w:rsidRDefault="00E455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BA" w:rsidRPr="00CD557F" w:rsidRDefault="00333A14">
    <w:pPr>
      <w:pStyle w:val="Footer"/>
    </w:pPr>
    <w:r w:rsidRPr="00333A14">
      <w:rPr>
        <w:noProof/>
        <w:sz w:val="16"/>
      </w:rPr>
      <w:t>{D0665166.DOCX / 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1A3" w:rsidRPr="00CD557F" w:rsidRDefault="00333A14" w:rsidP="000A569F">
    <w:pPr>
      <w:pStyle w:val="Footer"/>
      <w:ind w:right="-450"/>
      <w:rPr>
        <w:rFonts w:ascii="Corbel" w:hAnsi="Corbel" w:cs="Arial"/>
        <w:sz w:val="20"/>
      </w:rPr>
    </w:pPr>
    <w:r w:rsidRPr="00333A14">
      <w:rPr>
        <w:rFonts w:ascii="Corbel" w:hAnsi="Corbel" w:cs="Arial"/>
        <w:noProof/>
        <w:sz w:val="16"/>
      </w:rPr>
      <w:t>{D0665166.DOCX / 3 }</w:t>
    </w:r>
    <w:r>
      <w:rPr>
        <w:rFonts w:ascii="Corbel" w:hAnsi="Corbel" w:cs="Arial"/>
        <w:noProof/>
        <w:sz w:val="20"/>
      </w:rPr>
      <w:pict>
        <v:shapetype id="_x0000_t202" coordsize="21600,21600" o:spt="202" path="m,l,21600r21600,l21600,xe">
          <v:stroke joinstyle="miter"/>
          <v:path gradientshapeok="t" o:connecttype="rect"/>
        </v:shapetype>
        <v:shape id="Text Box 16" o:spid="_x0000_s1026" type="#_x0000_t202" style="position:absolute;margin-left:18pt;margin-top:740.7pt;width:8in;height:39.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BItQIAALs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" filled="f" stroked="f">
          <v:textbox>
            <w:txbxContent>
              <w:p w:rsidR="000111A3" w:rsidRDefault="00CD557F" w:rsidP="00291D2B">
                <w:pPr>
                  <w:pStyle w:val="Footer"/>
                  <w:ind w:left="-540" w:right="-360"/>
                  <w:jc w:val="center"/>
                  <w:rPr>
                    <w:rFonts w:ascii="Corbel" w:hAnsi="Corbel" w:cs="Arial"/>
                    <w:color w:val="365F91"/>
                    <w:sz w:val="18"/>
                  </w:rPr>
                </w:pPr>
                <w:r>
                  <w:rPr>
                    <w:rFonts w:ascii="Corbel" w:hAnsi="Corbel" w:cs="Arial"/>
                    <w:noProof/>
                    <w:color w:val="365F91"/>
                    <w:sz w:val="18"/>
                  </w:rPr>
                  <w:drawing>
                    <wp:inline distT="0" distB="0" distL="0" distR="0" wp14:anchorId="3EB48538" wp14:editId="2E679315">
                      <wp:extent cx="7124700" cy="19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0" cy="19050"/>
                              </a:xfrm>
                              <a:prstGeom prst="rect">
                                <a:avLst/>
                              </a:prstGeom>
                              <a:noFill/>
                              <a:ln>
                                <a:noFill/>
                              </a:ln>
                            </pic:spPr>
                          </pic:pic>
                        </a:graphicData>
                      </a:graphic>
                    </wp:inline>
                  </w:drawing>
                </w:r>
              </w:p>
              <w:p w:rsidR="000111A3" w:rsidRDefault="00333A14" w:rsidP="00291D2B">
                <w:pPr>
                  <w:pStyle w:val="Footer"/>
                  <w:ind w:left="-540" w:right="-360"/>
                  <w:jc w:val="center"/>
                  <w:rPr>
                    <w:rFonts w:ascii="Corbel" w:hAnsi="Corbel" w:cs="Arial"/>
                    <w:color w:val="365F91"/>
                    <w:sz w:val="18"/>
                  </w:rPr>
                </w:pPr>
              </w:p>
              <w:p w:rsidR="000111A3" w:rsidRPr="000A569F" w:rsidRDefault="00864B1F" w:rsidP="00291D2B">
                <w:pPr>
                  <w:pStyle w:val="Footer"/>
                  <w:ind w:left="-540" w:right="-360"/>
                  <w:jc w:val="center"/>
                  <w:rPr>
                    <w:rFonts w:ascii="Corbel" w:hAnsi="Corbel" w:cs="Arial"/>
                    <w:color w:val="365F91"/>
                    <w:sz w:val="18"/>
                  </w:rPr>
                </w:pPr>
                <w:r w:rsidRPr="000A569F">
                  <w:rPr>
                    <w:rFonts w:ascii="Corbel" w:hAnsi="Corbel" w:cs="Arial"/>
                    <w:color w:val="365F91"/>
                    <w:sz w:val="18"/>
                  </w:rPr>
                  <w:t>1501 M STREET, NW</w:t>
                </w:r>
                <w:r>
                  <w:rPr>
                    <w:rFonts w:ascii="Corbel" w:hAnsi="Corbel" w:cs="Arial"/>
                    <w:color w:val="365F91"/>
                    <w:sz w:val="18"/>
                  </w:rPr>
                  <w:t xml:space="preserve"> </w:t>
                </w:r>
                <w:r w:rsidRPr="007360B1">
                  <w:rPr>
                    <w:rFonts w:ascii="Corbel" w:hAnsi="Corbel" w:cs="Arial"/>
                    <w:color w:val="365F91"/>
                    <w:sz w:val="18"/>
                  </w:rPr>
                  <w:t xml:space="preserve">  </w:t>
                </w:r>
                <w:r w:rsidRPr="00DA4A11">
                  <w:rPr>
                    <w:rFonts w:ascii="Corbel" w:hAnsi="Corbel" w:cs="Arial"/>
                    <w:sz w:val="18"/>
                  </w:rPr>
                  <w:sym w:font="Wingdings" w:char="F06E"/>
                </w:r>
                <w:r w:rsidRPr="007360B1">
                  <w:rPr>
                    <w:rFonts w:ascii="Corbel" w:hAnsi="Corbel" w:cs="Arial"/>
                    <w:color w:val="365F91"/>
                    <w:sz w:val="18"/>
                  </w:rPr>
                  <w:t xml:space="preserve"> </w:t>
                </w:r>
                <w:r>
                  <w:rPr>
                    <w:rFonts w:ascii="Corbel" w:hAnsi="Corbel" w:cs="Arial"/>
                    <w:color w:val="365F91"/>
                    <w:sz w:val="18"/>
                  </w:rPr>
                  <w:t xml:space="preserve">  </w:t>
                </w:r>
                <w:r w:rsidRPr="000A569F">
                  <w:rPr>
                    <w:rFonts w:ascii="Corbel" w:hAnsi="Corbel" w:cs="Arial"/>
                    <w:color w:val="365F91"/>
                    <w:sz w:val="18"/>
                  </w:rPr>
                  <w:t>SEVENTH FLOOR</w:t>
                </w:r>
                <w:r>
                  <w:rPr>
                    <w:rFonts w:ascii="Corbel" w:hAnsi="Corbel" w:cs="Arial"/>
                    <w:color w:val="365F91"/>
                    <w:sz w:val="18"/>
                  </w:rPr>
                  <w:t xml:space="preserve">  </w:t>
                </w:r>
                <w:r w:rsidRPr="000A569F">
                  <w:rPr>
                    <w:rFonts w:ascii="Corbel" w:hAnsi="Corbel" w:cs="Arial"/>
                    <w:color w:val="365F91"/>
                    <w:sz w:val="18"/>
                  </w:rPr>
                  <w:t xml:space="preserve"> </w:t>
                </w:r>
                <w:r w:rsidRPr="00DA4A11">
                  <w:rPr>
                    <w:rFonts w:ascii="Corbel" w:hAnsi="Corbel" w:cs="Arial"/>
                    <w:sz w:val="18"/>
                  </w:rPr>
                  <w:sym w:font="Wingdings" w:char="F06E"/>
                </w:r>
                <w:r w:rsidRPr="007360B1">
                  <w:rPr>
                    <w:rFonts w:ascii="Corbel" w:hAnsi="Corbel" w:cs="Arial"/>
                    <w:color w:val="365F91"/>
                    <w:sz w:val="18"/>
                  </w:rPr>
                  <w:t xml:space="preserve">  </w:t>
                </w:r>
                <w:r>
                  <w:rPr>
                    <w:rFonts w:ascii="Corbel" w:hAnsi="Corbel" w:cs="Arial"/>
                    <w:color w:val="365F91"/>
                    <w:sz w:val="18"/>
                  </w:rPr>
                  <w:t xml:space="preserve"> </w:t>
                </w:r>
                <w:r w:rsidRPr="000A569F">
                  <w:rPr>
                    <w:rFonts w:ascii="Corbel" w:hAnsi="Corbel" w:cs="Arial"/>
                    <w:color w:val="365F91"/>
                    <w:sz w:val="18"/>
                  </w:rPr>
                  <w:t>WASHINGTO</w:t>
                </w:r>
                <w:r>
                  <w:rPr>
                    <w:rFonts w:ascii="Corbel" w:hAnsi="Corbel" w:cs="Arial"/>
                    <w:color w:val="365F91"/>
                    <w:sz w:val="18"/>
                  </w:rPr>
                  <w:t>N</w:t>
                </w:r>
                <w:r w:rsidRPr="000A569F">
                  <w:rPr>
                    <w:rFonts w:ascii="Corbel" w:hAnsi="Corbel" w:cs="Arial"/>
                    <w:color w:val="365F91"/>
                    <w:sz w:val="18"/>
                  </w:rPr>
                  <w:t xml:space="preserve"> DC  20005 </w:t>
                </w:r>
                <w:r>
                  <w:rPr>
                    <w:rFonts w:ascii="Corbel" w:hAnsi="Corbel" w:cs="Arial"/>
                    <w:color w:val="365F91"/>
                    <w:sz w:val="18"/>
                  </w:rPr>
                  <w:t xml:space="preserve">  </w:t>
                </w:r>
                <w:r w:rsidRPr="00DA4A11">
                  <w:rPr>
                    <w:rFonts w:ascii="Corbel" w:hAnsi="Corbel" w:cs="Arial"/>
                    <w:sz w:val="18"/>
                  </w:rPr>
                  <w:sym w:font="Wingdings" w:char="F06E"/>
                </w:r>
                <w:r w:rsidRPr="007360B1">
                  <w:rPr>
                    <w:rFonts w:ascii="Corbel" w:hAnsi="Corbel" w:cs="Arial"/>
                    <w:color w:val="365F91"/>
                    <w:sz w:val="18"/>
                  </w:rPr>
                  <w:t xml:space="preserve"> </w:t>
                </w:r>
                <w:r>
                  <w:rPr>
                    <w:rFonts w:ascii="Corbel" w:hAnsi="Corbel" w:cs="Arial"/>
                    <w:color w:val="365F91"/>
                    <w:sz w:val="18"/>
                  </w:rPr>
                  <w:t xml:space="preserve">  PH 202.466.6550 </w:t>
                </w:r>
                <w:r w:rsidRPr="00DA4A11">
                  <w:rPr>
                    <w:rFonts w:ascii="Corbel" w:hAnsi="Corbel" w:cs="Arial"/>
                    <w:sz w:val="18"/>
                  </w:rPr>
                  <w:sym w:font="Wingdings" w:char="F06E"/>
                </w:r>
                <w:r>
                  <w:rPr>
                    <w:rFonts w:ascii="Corbel" w:hAnsi="Corbel" w:cs="Arial"/>
                    <w:color w:val="365F91"/>
                    <w:sz w:val="18"/>
                  </w:rPr>
                  <w:t xml:space="preserve">   FX 202.785.1756    </w:t>
                </w:r>
                <w:r w:rsidRPr="00DA4A11">
                  <w:rPr>
                    <w:rFonts w:ascii="Corbel" w:hAnsi="Corbel" w:cs="Arial"/>
                    <w:sz w:val="18"/>
                  </w:rPr>
                  <w:sym w:font="Wingdings" w:char="F06E"/>
                </w:r>
                <w:r>
                  <w:rPr>
                    <w:rFonts w:ascii="Corbel" w:hAnsi="Corbel" w:cs="Arial"/>
                    <w:color w:val="365F91"/>
                    <w:sz w:val="18"/>
                  </w:rPr>
                  <w:t xml:space="preserve">  </w:t>
                </w:r>
                <w:r w:rsidRPr="000A569F">
                  <w:rPr>
                    <w:rFonts w:ascii="Corbel" w:hAnsi="Corbel" w:cs="Arial"/>
                    <w:color w:val="365F91"/>
                    <w:sz w:val="18"/>
                  </w:rPr>
                  <w:t xml:space="preserve"> WWW.PPSV.COM</w:t>
                </w:r>
              </w:p>
              <w:p w:rsidR="000111A3" w:rsidRDefault="00333A14"/>
            </w:txbxContent>
          </v:textbox>
          <w10:wrap anchorx="page" anchory="page"/>
        </v:shape>
      </w:pict>
    </w:r>
  </w:p>
  <w:p w:rsidR="000111A3" w:rsidRPr="00CD557F" w:rsidRDefault="00333A14" w:rsidP="000A569F">
    <w:pPr>
      <w:pStyle w:val="Footer"/>
      <w:ind w:right="-450"/>
      <w:rPr>
        <w:rFonts w:ascii="Corbel" w:hAnsi="Corbe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57F" w:rsidRDefault="00CD557F" w:rsidP="00CD557F">
      <w:pPr>
        <w:rPr>
          <w:noProof/>
        </w:rPr>
      </w:pPr>
      <w:r>
        <w:rPr>
          <w:noProof/>
        </w:rPr>
        <w:separator/>
      </w:r>
    </w:p>
  </w:footnote>
  <w:footnote w:type="continuationSeparator" w:id="0">
    <w:p w:rsidR="00CD557F" w:rsidRDefault="00CD557F" w:rsidP="00CD5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562" w:rsidRDefault="00E455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562" w:rsidRDefault="00E455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1A3" w:rsidRDefault="00333A14" w:rsidP="00D604AE">
    <w:pPr>
      <w:pStyle w:val="Header"/>
      <w:jc w:val="center"/>
    </w:pPr>
  </w:p>
  <w:p w:rsidR="000111A3" w:rsidRDefault="00333A14" w:rsidP="00D604AE">
    <w:pPr>
      <w:pStyle w:val="Header"/>
      <w:jc w:val="center"/>
    </w:pPr>
  </w:p>
  <w:p w:rsidR="000111A3" w:rsidRDefault="00333A14" w:rsidP="00D604AE">
    <w:pPr>
      <w:pStyle w:val="Header"/>
      <w:jc w:val="center"/>
    </w:pPr>
  </w:p>
  <w:p w:rsidR="000111A3" w:rsidRDefault="00333A14" w:rsidP="00D604AE">
    <w:pPr>
      <w:pStyle w:val="Header"/>
      <w:jc w:val="center"/>
    </w:pPr>
  </w:p>
  <w:p w:rsidR="000111A3" w:rsidRDefault="00333A14" w:rsidP="00D604A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124A"/>
    <w:multiLevelType w:val="hybridMultilevel"/>
    <w:tmpl w:val="13424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704693"/>
    <w:multiLevelType w:val="hybridMultilevel"/>
    <w:tmpl w:val="4C7EF7F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3AF345B2"/>
    <w:multiLevelType w:val="hybridMultilevel"/>
    <w:tmpl w:val="E74E404C"/>
    <w:lvl w:ilvl="0" w:tplc="2EFCF788">
      <w:start w:val="1"/>
      <w:numFmt w:val="upperLetter"/>
      <w:lvlText w:val="%1."/>
      <w:lvlJc w:val="left"/>
      <w:pPr>
        <w:ind w:left="6210" w:hanging="360"/>
      </w:pPr>
      <w:rPr>
        <w:rFonts w:hint="default"/>
      </w:rPr>
    </w:lvl>
    <w:lvl w:ilvl="1" w:tplc="04090019" w:tentative="1">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3">
    <w:nsid w:val="42370354"/>
    <w:multiLevelType w:val="hybridMultilevel"/>
    <w:tmpl w:val="977AC086"/>
    <w:lvl w:ilvl="0" w:tplc="CD860D9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18B2B70"/>
    <w:multiLevelType w:val="hybridMultilevel"/>
    <w:tmpl w:val="05083E66"/>
    <w:lvl w:ilvl="0" w:tplc="55D8B20C">
      <w:start w:val="4"/>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CD557F"/>
    <w:rsid w:val="001D0211"/>
    <w:rsid w:val="00254324"/>
    <w:rsid w:val="00257DBF"/>
    <w:rsid w:val="00301D9D"/>
    <w:rsid w:val="00333A14"/>
    <w:rsid w:val="00423D9A"/>
    <w:rsid w:val="004A3CE6"/>
    <w:rsid w:val="005B6716"/>
    <w:rsid w:val="005D7517"/>
    <w:rsid w:val="005F7F15"/>
    <w:rsid w:val="00654E3A"/>
    <w:rsid w:val="007166B8"/>
    <w:rsid w:val="007369AF"/>
    <w:rsid w:val="00737E3F"/>
    <w:rsid w:val="00864B1F"/>
    <w:rsid w:val="00876500"/>
    <w:rsid w:val="009B31BC"/>
    <w:rsid w:val="00A5708D"/>
    <w:rsid w:val="00AA5B65"/>
    <w:rsid w:val="00B1710B"/>
    <w:rsid w:val="00B9570B"/>
    <w:rsid w:val="00CD557F"/>
    <w:rsid w:val="00CF78CA"/>
    <w:rsid w:val="00E45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7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57F"/>
    <w:pPr>
      <w:tabs>
        <w:tab w:val="center" w:pos="4680"/>
        <w:tab w:val="right" w:pos="9360"/>
      </w:tabs>
    </w:pPr>
  </w:style>
  <w:style w:type="character" w:customStyle="1" w:styleId="HeaderChar">
    <w:name w:val="Header Char"/>
    <w:basedOn w:val="DefaultParagraphFont"/>
    <w:link w:val="Header"/>
    <w:uiPriority w:val="99"/>
    <w:rsid w:val="00CD557F"/>
  </w:style>
  <w:style w:type="paragraph" w:styleId="Footer">
    <w:name w:val="footer"/>
    <w:basedOn w:val="Normal"/>
    <w:link w:val="FooterChar"/>
    <w:uiPriority w:val="99"/>
    <w:unhideWhenUsed/>
    <w:rsid w:val="00CD557F"/>
    <w:pPr>
      <w:tabs>
        <w:tab w:val="center" w:pos="4680"/>
        <w:tab w:val="right" w:pos="9360"/>
      </w:tabs>
    </w:pPr>
  </w:style>
  <w:style w:type="character" w:customStyle="1" w:styleId="FooterChar">
    <w:name w:val="Footer Char"/>
    <w:basedOn w:val="DefaultParagraphFont"/>
    <w:link w:val="Footer"/>
    <w:uiPriority w:val="99"/>
    <w:rsid w:val="00CD557F"/>
  </w:style>
  <w:style w:type="paragraph" w:styleId="FootnoteText">
    <w:name w:val="footnote text"/>
    <w:basedOn w:val="Normal"/>
    <w:link w:val="FootnoteTextChar"/>
    <w:uiPriority w:val="99"/>
    <w:semiHidden/>
    <w:rsid w:val="00CD557F"/>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CD557F"/>
    <w:rPr>
      <w:rFonts w:eastAsia="Times New Roman" w:cs="Times New Roman"/>
      <w:sz w:val="20"/>
      <w:szCs w:val="20"/>
    </w:rPr>
  </w:style>
  <w:style w:type="character" w:styleId="FootnoteReference">
    <w:name w:val="footnote reference"/>
    <w:uiPriority w:val="99"/>
    <w:semiHidden/>
    <w:rsid w:val="00CD557F"/>
    <w:rPr>
      <w:vertAlign w:val="superscript"/>
    </w:rPr>
  </w:style>
  <w:style w:type="paragraph" w:styleId="BalloonText">
    <w:name w:val="Balloon Text"/>
    <w:basedOn w:val="Normal"/>
    <w:link w:val="BalloonTextChar"/>
    <w:uiPriority w:val="99"/>
    <w:semiHidden/>
    <w:unhideWhenUsed/>
    <w:rsid w:val="00CD557F"/>
    <w:rPr>
      <w:rFonts w:ascii="Tahoma" w:hAnsi="Tahoma" w:cs="Tahoma"/>
      <w:sz w:val="16"/>
      <w:szCs w:val="16"/>
    </w:rPr>
  </w:style>
  <w:style w:type="character" w:customStyle="1" w:styleId="BalloonTextChar">
    <w:name w:val="Balloon Text Char"/>
    <w:basedOn w:val="DefaultParagraphFont"/>
    <w:link w:val="BalloonText"/>
    <w:uiPriority w:val="99"/>
    <w:semiHidden/>
    <w:rsid w:val="00CD557F"/>
    <w:rPr>
      <w:rFonts w:ascii="Tahoma" w:hAnsi="Tahoma" w:cs="Tahoma"/>
      <w:sz w:val="16"/>
      <w:szCs w:val="16"/>
    </w:rPr>
  </w:style>
  <w:style w:type="paragraph" w:styleId="ListParagraph">
    <w:name w:val="List Paragraph"/>
    <w:basedOn w:val="Normal"/>
    <w:uiPriority w:val="34"/>
    <w:qFormat/>
    <w:rsid w:val="002543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57F"/>
    <w:pPr>
      <w:tabs>
        <w:tab w:val="center" w:pos="4680"/>
        <w:tab w:val="right" w:pos="9360"/>
      </w:tabs>
    </w:pPr>
  </w:style>
  <w:style w:type="character" w:customStyle="1" w:styleId="HeaderChar">
    <w:name w:val="Header Char"/>
    <w:basedOn w:val="DefaultParagraphFont"/>
    <w:link w:val="Header"/>
    <w:uiPriority w:val="99"/>
    <w:rsid w:val="00CD557F"/>
  </w:style>
  <w:style w:type="paragraph" w:styleId="Footer">
    <w:name w:val="footer"/>
    <w:basedOn w:val="Normal"/>
    <w:link w:val="FooterChar"/>
    <w:uiPriority w:val="99"/>
    <w:unhideWhenUsed/>
    <w:rsid w:val="00CD557F"/>
    <w:pPr>
      <w:tabs>
        <w:tab w:val="center" w:pos="4680"/>
        <w:tab w:val="right" w:pos="9360"/>
      </w:tabs>
    </w:pPr>
  </w:style>
  <w:style w:type="character" w:customStyle="1" w:styleId="FooterChar">
    <w:name w:val="Footer Char"/>
    <w:basedOn w:val="DefaultParagraphFont"/>
    <w:link w:val="Footer"/>
    <w:uiPriority w:val="99"/>
    <w:rsid w:val="00CD557F"/>
  </w:style>
  <w:style w:type="paragraph" w:styleId="FootnoteText">
    <w:name w:val="footnote text"/>
    <w:basedOn w:val="Normal"/>
    <w:link w:val="FootnoteTextChar"/>
    <w:uiPriority w:val="99"/>
    <w:semiHidden/>
    <w:rsid w:val="00CD557F"/>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CD557F"/>
    <w:rPr>
      <w:rFonts w:eastAsia="Times New Roman" w:cs="Times New Roman"/>
      <w:sz w:val="20"/>
      <w:szCs w:val="20"/>
    </w:rPr>
  </w:style>
  <w:style w:type="character" w:styleId="FootnoteReference">
    <w:name w:val="footnote reference"/>
    <w:uiPriority w:val="99"/>
    <w:semiHidden/>
    <w:rsid w:val="00CD557F"/>
    <w:rPr>
      <w:vertAlign w:val="superscript"/>
    </w:rPr>
  </w:style>
  <w:style w:type="paragraph" w:styleId="BalloonText">
    <w:name w:val="Balloon Text"/>
    <w:basedOn w:val="Normal"/>
    <w:link w:val="BalloonTextChar"/>
    <w:uiPriority w:val="99"/>
    <w:semiHidden/>
    <w:unhideWhenUsed/>
    <w:rsid w:val="00CD557F"/>
    <w:rPr>
      <w:rFonts w:ascii="Tahoma" w:hAnsi="Tahoma" w:cs="Tahoma"/>
      <w:sz w:val="16"/>
      <w:szCs w:val="16"/>
    </w:rPr>
  </w:style>
  <w:style w:type="character" w:customStyle="1" w:styleId="BalloonTextChar">
    <w:name w:val="Balloon Text Char"/>
    <w:basedOn w:val="DefaultParagraphFont"/>
    <w:link w:val="BalloonText"/>
    <w:uiPriority w:val="99"/>
    <w:semiHidden/>
    <w:rsid w:val="00CD557F"/>
    <w:rPr>
      <w:rFonts w:ascii="Tahoma" w:hAnsi="Tahoma" w:cs="Tahoma"/>
      <w:sz w:val="16"/>
      <w:szCs w:val="16"/>
    </w:rPr>
  </w:style>
  <w:style w:type="paragraph" w:styleId="ListParagraph">
    <w:name w:val="List Paragraph"/>
    <w:basedOn w:val="Normal"/>
    <w:uiPriority w:val="34"/>
    <w:qFormat/>
    <w:rsid w:val="00254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amazonaws.com/public-inspection.federalregister.gov/2016-10032.pdf" TargetMode="Externa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 Type="http://schemas.microsoft.com/office/2007/relationships/stylesWithEffects" Target="stylesWithEffects.xml"/><Relationship Id="rId21" Type="http://schemas.openxmlformats.org/officeDocument/2006/relationships/image" Target="media/image11.em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hyperlink" Target="https://www.cms.gov/Medicare/Quality-Initiatives-Patient-Assessment-Instruments/Value-Based-Programs/MACRA-MIPS-and-APMs/Advancing-Care-Information-Fact-Sheet.pdf" TargetMode="External"/><Relationship Id="rId19" Type="http://schemas.openxmlformats.org/officeDocument/2006/relationships/image" Target="media/image9.e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ms.gov/Medicare/Quality-Initiatives-Patient-Assessment-Instruments/Value-Based-Programs/MACRA-MIPS-and-APMs/NPRM-QPP-Fact-Sheet.pdf" TargetMode="Externa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header" Target="header1.xml"/><Relationship Id="rId35"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578</Words>
  <Characters>2969</Characters>
  <Application>Microsoft Office Word</Application>
  <DocSecurity>0</DocSecurity>
  <PresentationFormat/>
  <Lines>98</Lines>
  <Paragraphs>14</Paragraphs>
  <ScaleCrop>false</ScaleCrop>
  <HeadingPairs>
    <vt:vector size="2" baseType="variant">
      <vt:variant>
        <vt:lpstr>Title</vt:lpstr>
      </vt:variant>
      <vt:variant>
        <vt:i4>1</vt:i4>
      </vt:variant>
    </vt:vector>
  </HeadingPairs>
  <TitlesOfParts>
    <vt:vector size="1" baseType="lpstr">
      <vt:lpstr>The short list of MACRA points. ASe. (D0665166-3).DOCX</vt:lpstr>
    </vt:vector>
  </TitlesOfParts>
  <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short list of MACRA points. ASe. (D0665166-3).DOCX</dc:title>
  <dc:subject>D0665166.DOCX / 3 /font=8</dc:subject>
  <dc:creator>Millman, Diane</dc:creator>
  <cp:keywords/>
  <dc:description/>
  <cp:lastModifiedBy>Millman, Diane</cp:lastModifiedBy>
  <cp:revision>8</cp:revision>
  <dcterms:created xsi:type="dcterms:W3CDTF">2016-05-19T21:59:00Z</dcterms:created>
  <dcterms:modified xsi:type="dcterms:W3CDTF">2016-06-06T18:16:00Z</dcterms:modified>
</cp:coreProperties>
</file>