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2" w:rsidRPr="002F289D" w:rsidRDefault="00A70498" w:rsidP="00B97272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Syllabus Template for </w:t>
      </w:r>
      <w:r w:rsidR="008936A5">
        <w:rPr>
          <w:rFonts w:cstheme="minorHAnsi"/>
          <w:b/>
          <w:sz w:val="28"/>
          <w:szCs w:val="28"/>
        </w:rPr>
        <w:t xml:space="preserve">Peripheral </w:t>
      </w:r>
      <w:r>
        <w:rPr>
          <w:rFonts w:cstheme="minorHAnsi"/>
          <w:b/>
          <w:sz w:val="28"/>
          <w:szCs w:val="28"/>
        </w:rPr>
        <w:t xml:space="preserve">IV </w:t>
      </w:r>
      <w:r w:rsidR="00E8457D">
        <w:rPr>
          <w:rFonts w:cstheme="minorHAnsi"/>
          <w:b/>
          <w:sz w:val="28"/>
          <w:szCs w:val="28"/>
        </w:rPr>
        <w:t xml:space="preserve">(PIV) </w:t>
      </w:r>
      <w:r w:rsidR="008936A5">
        <w:rPr>
          <w:rFonts w:cstheme="minorHAnsi"/>
          <w:b/>
          <w:sz w:val="28"/>
          <w:szCs w:val="28"/>
        </w:rPr>
        <w:t>Insertion</w:t>
      </w:r>
      <w:r w:rsidR="00E54EC9">
        <w:rPr>
          <w:rFonts w:cstheme="minorHAnsi"/>
          <w:b/>
          <w:sz w:val="28"/>
          <w:szCs w:val="28"/>
        </w:rPr>
        <w:t xml:space="preserve"> and Removal</w:t>
      </w:r>
    </w:p>
    <w:p w:rsidR="00B97272" w:rsidRPr="002F289D" w:rsidRDefault="00B97272" w:rsidP="00B97272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Course</w:t>
      </w:r>
      <w:r w:rsidR="008F17BD">
        <w:rPr>
          <w:rFonts w:cstheme="minorHAnsi"/>
          <w:b/>
          <w:sz w:val="24"/>
          <w:szCs w:val="24"/>
        </w:rPr>
        <w:t xml:space="preserve"> Number and Name</w:t>
      </w:r>
      <w:r w:rsidRPr="002F289D">
        <w:rPr>
          <w:rFonts w:cstheme="minorHAnsi"/>
          <w:b/>
          <w:sz w:val="24"/>
          <w:szCs w:val="24"/>
        </w:rPr>
        <w:t xml:space="preserve">:  </w:t>
      </w:r>
      <w:r w:rsidRPr="002F289D">
        <w:rPr>
          <w:rFonts w:cstheme="minorHAnsi"/>
          <w:b/>
          <w:sz w:val="24"/>
          <w:szCs w:val="24"/>
        </w:rPr>
        <w:tab/>
      </w:r>
      <w:r w:rsidR="00B20B15">
        <w:rPr>
          <w:rFonts w:cstheme="minorHAnsi"/>
          <w:b/>
          <w:sz w:val="24"/>
          <w:szCs w:val="24"/>
        </w:rPr>
        <w:t xml:space="preserve"> </w:t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Credits:</w:t>
      </w:r>
      <w:r w:rsidRPr="002F289D">
        <w:rPr>
          <w:rFonts w:cstheme="minorHAnsi"/>
          <w:b/>
          <w:sz w:val="24"/>
          <w:szCs w:val="24"/>
        </w:rPr>
        <w:tab/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B97272" w:rsidRDefault="00B97272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>Hours:</w:t>
      </w:r>
      <w:r w:rsidRPr="002F289D">
        <w:rPr>
          <w:rFonts w:cstheme="minorHAnsi"/>
          <w:b/>
          <w:sz w:val="24"/>
          <w:szCs w:val="24"/>
        </w:rPr>
        <w:tab/>
      </w:r>
      <w:r w:rsidRPr="002F289D">
        <w:rPr>
          <w:rFonts w:cstheme="minorHAnsi"/>
          <w:b/>
          <w:sz w:val="24"/>
          <w:szCs w:val="24"/>
        </w:rPr>
        <w:tab/>
      </w:r>
    </w:p>
    <w:p w:rsidR="008F17BD" w:rsidRPr="002F289D" w:rsidRDefault="008F17BD" w:rsidP="00B97272">
      <w:pPr>
        <w:contextualSpacing/>
        <w:rPr>
          <w:rFonts w:cstheme="minorHAnsi"/>
          <w:sz w:val="24"/>
          <w:szCs w:val="24"/>
        </w:rPr>
      </w:pPr>
    </w:p>
    <w:p w:rsidR="00FA08C4" w:rsidRDefault="009E4D48" w:rsidP="0073110C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Instructor</w:t>
      </w:r>
      <w:r w:rsidR="00B97272" w:rsidRPr="002F289D">
        <w:rPr>
          <w:rFonts w:cstheme="minorHAnsi"/>
          <w:b/>
          <w:sz w:val="24"/>
          <w:szCs w:val="24"/>
        </w:rPr>
        <w:t>:</w:t>
      </w:r>
      <w:r w:rsidR="00B97272" w:rsidRPr="002F289D">
        <w:rPr>
          <w:rFonts w:cstheme="minorHAnsi"/>
          <w:b/>
          <w:sz w:val="24"/>
          <w:szCs w:val="24"/>
        </w:rPr>
        <w:tab/>
      </w:r>
    </w:p>
    <w:p w:rsidR="008F17BD" w:rsidRPr="0073110C" w:rsidRDefault="008F17BD" w:rsidP="0073110C">
      <w:pPr>
        <w:contextualSpacing/>
        <w:rPr>
          <w:rFonts w:cstheme="minorHAnsi"/>
          <w:sz w:val="24"/>
          <w:szCs w:val="24"/>
        </w:rPr>
      </w:pPr>
    </w:p>
    <w:p w:rsidR="008936A5" w:rsidRPr="008936A5" w:rsidRDefault="00FA08C4" w:rsidP="008936A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A08C4">
        <w:rPr>
          <w:rFonts w:ascii="Calibri" w:hAnsi="Calibri" w:cs="Calibri"/>
          <w:b/>
          <w:sz w:val="24"/>
          <w:szCs w:val="24"/>
        </w:rPr>
        <w:t>Course Description:</w:t>
      </w:r>
      <w:r>
        <w:rPr>
          <w:rFonts w:ascii="Calibri" w:hAnsi="Calibri" w:cs="Calibri"/>
          <w:sz w:val="24"/>
          <w:szCs w:val="24"/>
        </w:rPr>
        <w:t xml:space="preserve"> </w:t>
      </w:r>
      <w:r w:rsidR="0007537D" w:rsidRPr="008936A5">
        <w:rPr>
          <w:rFonts w:ascii="Calibri" w:hAnsi="Calibri" w:cs="Calibri"/>
          <w:sz w:val="24"/>
          <w:szCs w:val="24"/>
        </w:rPr>
        <w:t xml:space="preserve">This workshop has been designed to help </w:t>
      </w:r>
      <w:r w:rsidR="0007537D">
        <w:rPr>
          <w:rFonts w:ascii="Calibri" w:hAnsi="Calibri" w:cs="Calibri"/>
          <w:sz w:val="24"/>
          <w:szCs w:val="24"/>
        </w:rPr>
        <w:t>sonographers</w:t>
      </w:r>
      <w:r w:rsidR="00F473B8">
        <w:rPr>
          <w:rFonts w:ascii="Calibri" w:hAnsi="Calibri" w:cs="Calibri"/>
          <w:sz w:val="24"/>
          <w:szCs w:val="24"/>
        </w:rPr>
        <w:t xml:space="preserve"> and sonography students</w:t>
      </w:r>
      <w:r w:rsidR="0007537D">
        <w:rPr>
          <w:rFonts w:ascii="Calibri" w:hAnsi="Calibri" w:cs="Calibri"/>
          <w:sz w:val="24"/>
          <w:szCs w:val="24"/>
        </w:rPr>
        <w:t xml:space="preserve"> </w:t>
      </w:r>
      <w:r w:rsidR="0007537D" w:rsidRPr="008936A5">
        <w:rPr>
          <w:rFonts w:ascii="Calibri" w:hAnsi="Calibri" w:cs="Calibri"/>
          <w:sz w:val="24"/>
          <w:szCs w:val="24"/>
        </w:rPr>
        <w:t>gain didactic and "hands-on" experience with the theory and skills needed to insert a peripheral IV.</w:t>
      </w:r>
      <w:r w:rsidR="0007537D">
        <w:rPr>
          <w:rFonts w:ascii="Calibri" w:hAnsi="Calibri" w:cs="Calibri"/>
          <w:sz w:val="24"/>
          <w:szCs w:val="24"/>
        </w:rPr>
        <w:t xml:space="preserve"> </w:t>
      </w:r>
      <w:r w:rsidR="00A70498" w:rsidRPr="00A70498">
        <w:rPr>
          <w:rFonts w:ascii="Calibri" w:hAnsi="Calibri" w:cs="Calibri"/>
          <w:sz w:val="24"/>
          <w:szCs w:val="24"/>
        </w:rPr>
        <w:t xml:space="preserve"> </w:t>
      </w:r>
      <w:r w:rsidR="008936A5" w:rsidRPr="008936A5">
        <w:rPr>
          <w:rFonts w:ascii="Calibri" w:hAnsi="Calibri" w:cs="Calibri"/>
          <w:sz w:val="24"/>
          <w:szCs w:val="24"/>
        </w:rPr>
        <w:t>Content includes criteria for vein selection, vein location and identification, selection of supplies and equipment, and potential complications of IV therapy.</w:t>
      </w:r>
      <w:r w:rsidR="008936A5">
        <w:rPr>
          <w:rFonts w:ascii="Calibri" w:hAnsi="Calibri" w:cs="Calibri"/>
          <w:sz w:val="24"/>
          <w:szCs w:val="24"/>
        </w:rPr>
        <w:t xml:space="preserve"> </w:t>
      </w:r>
      <w:r w:rsidR="008936A5" w:rsidRPr="008936A5">
        <w:rPr>
          <w:rFonts w:ascii="Calibri" w:hAnsi="Calibri" w:cs="Calibri"/>
          <w:sz w:val="24"/>
          <w:szCs w:val="24"/>
        </w:rPr>
        <w:t xml:space="preserve">Information on legal aspects, malpractice insurance, and proper documentation will be included. Supplies will be provided for practicing insertion </w:t>
      </w:r>
      <w:r w:rsidR="00B6339F">
        <w:rPr>
          <w:rFonts w:ascii="Calibri" w:hAnsi="Calibri" w:cs="Calibri"/>
          <w:sz w:val="24"/>
          <w:szCs w:val="24"/>
        </w:rPr>
        <w:t xml:space="preserve">and removal </w:t>
      </w:r>
      <w:r w:rsidR="008936A5" w:rsidRPr="008936A5">
        <w:rPr>
          <w:rFonts w:ascii="Calibri" w:hAnsi="Calibri" w:cs="Calibri"/>
          <w:sz w:val="24"/>
          <w:szCs w:val="24"/>
        </w:rPr>
        <w:t>of peripheral IV catheters using anatomical models</w:t>
      </w:r>
      <w:r w:rsidR="003E2224">
        <w:rPr>
          <w:rFonts w:ascii="Calibri" w:hAnsi="Calibri" w:cs="Calibri"/>
          <w:sz w:val="24"/>
          <w:szCs w:val="24"/>
        </w:rPr>
        <w:t xml:space="preserve"> and i</w:t>
      </w:r>
      <w:r w:rsidR="008936A5" w:rsidRPr="008936A5">
        <w:rPr>
          <w:rFonts w:ascii="Calibri" w:hAnsi="Calibri" w:cs="Calibri"/>
          <w:sz w:val="24"/>
          <w:szCs w:val="24"/>
        </w:rPr>
        <w:t>ndividual competency validation will be provided by the instructor at the end of the program</w:t>
      </w:r>
      <w:r w:rsidR="0007537D">
        <w:rPr>
          <w:rFonts w:ascii="Calibri" w:hAnsi="Calibri" w:cs="Calibri"/>
          <w:sz w:val="24"/>
          <w:szCs w:val="24"/>
        </w:rPr>
        <w:t>.</w:t>
      </w:r>
      <w:r w:rsidR="00BA43D7" w:rsidRPr="00BA43D7">
        <w:t xml:space="preserve"> </w:t>
      </w:r>
      <w:r w:rsidR="00BA43D7">
        <w:t xml:space="preserve"> </w:t>
      </w:r>
      <w:r w:rsidR="00E727A4">
        <w:rPr>
          <w:rFonts w:ascii="Calibri" w:hAnsi="Calibri" w:cs="Calibri"/>
          <w:sz w:val="24"/>
          <w:szCs w:val="24"/>
        </w:rPr>
        <w:t>However, a</w:t>
      </w:r>
      <w:r w:rsidR="00BA43D7">
        <w:rPr>
          <w:rFonts w:ascii="Calibri" w:hAnsi="Calibri" w:cs="Calibri"/>
          <w:sz w:val="24"/>
          <w:szCs w:val="24"/>
        </w:rPr>
        <w:t xml:space="preserve"> s</w:t>
      </w:r>
      <w:r w:rsidR="00BA43D7" w:rsidRPr="00BA43D7">
        <w:rPr>
          <w:rFonts w:ascii="Calibri" w:hAnsi="Calibri" w:cs="Calibri"/>
          <w:sz w:val="24"/>
          <w:szCs w:val="24"/>
        </w:rPr>
        <w:t>upplemental period of structured on-the-job training and competency evaluation for each individual is required in order to successfully apply this knowledge in a clinical setting</w:t>
      </w:r>
      <w:r w:rsidR="00DE3EB0">
        <w:rPr>
          <w:rFonts w:ascii="Calibri" w:hAnsi="Calibri" w:cs="Calibri"/>
          <w:sz w:val="24"/>
          <w:szCs w:val="24"/>
        </w:rPr>
        <w:t>.</w:t>
      </w:r>
    </w:p>
    <w:p w:rsidR="00D753AE" w:rsidRDefault="00A70498" w:rsidP="003A02C9">
      <w:pPr>
        <w:tabs>
          <w:tab w:val="left" w:pos="288"/>
          <w:tab w:val="right" w:pos="3168"/>
          <w:tab w:val="left" w:pos="3456"/>
          <w:tab w:val="left" w:pos="9792"/>
        </w:tabs>
        <w:suppressAutoHyphens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Learning </w:t>
      </w:r>
      <w:r w:rsidR="00D753AE">
        <w:rPr>
          <w:rFonts w:cstheme="minorHAnsi"/>
          <w:b/>
          <w:sz w:val="24"/>
          <w:szCs w:val="24"/>
        </w:rPr>
        <w:t>Objectives:</w:t>
      </w:r>
    </w:p>
    <w:p w:rsidR="00263CE1" w:rsidRPr="00263CE1" w:rsidRDefault="00263CE1" w:rsidP="00263CE1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263CE1">
        <w:rPr>
          <w:rFonts w:cstheme="minorHAnsi"/>
          <w:sz w:val="24"/>
          <w:szCs w:val="24"/>
        </w:rPr>
        <w:t xml:space="preserve">Identify legal and policy considerations in regard to IV placement 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 xml:space="preserve">efine the proper technique and procedure for </w:t>
      </w:r>
      <w:r w:rsidR="0004793E">
        <w:rPr>
          <w:rFonts w:cstheme="minorHAnsi"/>
          <w:sz w:val="24"/>
          <w:szCs w:val="24"/>
        </w:rPr>
        <w:t>PIV insertion</w:t>
      </w:r>
      <w:r w:rsidR="00473CBD">
        <w:rPr>
          <w:rFonts w:cstheme="minorHAnsi"/>
          <w:sz w:val="24"/>
          <w:szCs w:val="24"/>
        </w:rPr>
        <w:t xml:space="preserve"> and removal</w:t>
      </w:r>
    </w:p>
    <w:p w:rsidR="00473CBD" w:rsidRDefault="00473CBD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Identify appropriate intravenous access sites</w:t>
      </w:r>
      <w:r>
        <w:rPr>
          <w:rFonts w:cstheme="minorHAnsi"/>
          <w:sz w:val="24"/>
          <w:szCs w:val="24"/>
        </w:rPr>
        <w:t xml:space="preserve"> 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>emonstrate t</w:t>
      </w:r>
      <w:r w:rsidR="00E8457D">
        <w:rPr>
          <w:rFonts w:cstheme="minorHAnsi"/>
          <w:sz w:val="24"/>
          <w:szCs w:val="24"/>
        </w:rPr>
        <w:t>he ability to properly insert a P</w:t>
      </w:r>
      <w:r w:rsidR="00A70498" w:rsidRPr="00A70498">
        <w:rPr>
          <w:rFonts w:cstheme="minorHAnsi"/>
          <w:sz w:val="24"/>
          <w:szCs w:val="24"/>
        </w:rPr>
        <w:t>IV</w:t>
      </w:r>
    </w:p>
    <w:p w:rsidR="00E8457D" w:rsidRPr="00A70498" w:rsidRDefault="00B16541" w:rsidP="00E8457D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8457D" w:rsidRPr="00A70498">
        <w:rPr>
          <w:rFonts w:cstheme="minorHAnsi"/>
          <w:sz w:val="24"/>
          <w:szCs w:val="24"/>
        </w:rPr>
        <w:t xml:space="preserve">emonstrate the ability to properly </w:t>
      </w:r>
      <w:r w:rsidR="00E8457D">
        <w:rPr>
          <w:rFonts w:cstheme="minorHAnsi"/>
          <w:sz w:val="24"/>
          <w:szCs w:val="24"/>
        </w:rPr>
        <w:t>remove a PIV</w:t>
      </w:r>
    </w:p>
    <w:p w:rsidR="00A70498" w:rsidRPr="00A70498" w:rsidRDefault="00B16541" w:rsidP="00A70498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70498" w:rsidRPr="00A70498">
        <w:rPr>
          <w:rFonts w:cstheme="minorHAnsi"/>
          <w:sz w:val="24"/>
          <w:szCs w:val="24"/>
        </w:rPr>
        <w:t>ecognize complications that can occur with IV insertions</w:t>
      </w:r>
    </w:p>
    <w:p w:rsidR="00FA08C4" w:rsidRPr="003F33AE" w:rsidRDefault="00B16541" w:rsidP="003F33A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70498" w:rsidRPr="00A70498">
        <w:rPr>
          <w:rFonts w:cstheme="minorHAnsi"/>
          <w:sz w:val="24"/>
          <w:szCs w:val="24"/>
        </w:rPr>
        <w:t xml:space="preserve">emonstrate </w:t>
      </w:r>
      <w:r w:rsidR="00E8457D">
        <w:rPr>
          <w:rFonts w:cstheme="minorHAnsi"/>
          <w:sz w:val="24"/>
          <w:szCs w:val="24"/>
        </w:rPr>
        <w:t>appropriate</w:t>
      </w:r>
      <w:r w:rsidR="00A70498" w:rsidRPr="00A70498">
        <w:rPr>
          <w:rFonts w:cstheme="minorHAnsi"/>
          <w:sz w:val="24"/>
          <w:szCs w:val="24"/>
        </w:rPr>
        <w:t xml:space="preserve"> documentation of </w:t>
      </w:r>
      <w:r w:rsidR="00E8457D">
        <w:rPr>
          <w:rFonts w:cstheme="minorHAnsi"/>
          <w:sz w:val="24"/>
          <w:szCs w:val="24"/>
        </w:rPr>
        <w:t>PIV insertion and removal</w:t>
      </w:r>
    </w:p>
    <w:p w:rsidR="00FA08C4" w:rsidRPr="00D753AE" w:rsidRDefault="00FA08C4" w:rsidP="00FA08C4">
      <w:pPr>
        <w:pStyle w:val="ListParagraph"/>
        <w:spacing w:after="0"/>
        <w:rPr>
          <w:sz w:val="24"/>
          <w:szCs w:val="24"/>
        </w:rPr>
      </w:pPr>
    </w:p>
    <w:p w:rsidR="007F7F4D" w:rsidRPr="002F289D" w:rsidRDefault="007F7F4D" w:rsidP="00B97272">
      <w:pPr>
        <w:contextualSpacing/>
        <w:rPr>
          <w:rFonts w:cstheme="minorHAnsi"/>
          <w:b/>
          <w:sz w:val="24"/>
          <w:szCs w:val="24"/>
        </w:rPr>
      </w:pPr>
      <w:r w:rsidRPr="002F289D">
        <w:rPr>
          <w:rFonts w:cstheme="minorHAnsi"/>
          <w:b/>
          <w:sz w:val="24"/>
          <w:szCs w:val="24"/>
        </w:rPr>
        <w:t xml:space="preserve">Instructional methods:  </w:t>
      </w:r>
      <w:r w:rsidR="003F33AE">
        <w:rPr>
          <w:rFonts w:cstheme="minorHAnsi"/>
          <w:sz w:val="24"/>
          <w:szCs w:val="24"/>
        </w:rPr>
        <w:t>Lectures, labs, simulated IV insertion</w:t>
      </w:r>
      <w:r w:rsidR="00EF3C6A">
        <w:rPr>
          <w:rFonts w:cstheme="minorHAnsi"/>
          <w:sz w:val="24"/>
          <w:szCs w:val="24"/>
        </w:rPr>
        <w:t xml:space="preserve"> and removal</w:t>
      </w:r>
    </w:p>
    <w:p w:rsidR="0013654F" w:rsidRDefault="0013654F" w:rsidP="00B97272">
      <w:pPr>
        <w:contextualSpacing/>
        <w:rPr>
          <w:rFonts w:cstheme="minorHAnsi"/>
          <w:b/>
          <w:sz w:val="24"/>
          <w:szCs w:val="24"/>
        </w:rPr>
      </w:pPr>
    </w:p>
    <w:p w:rsidR="007931AE" w:rsidRDefault="00345F28" w:rsidP="00B97272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Suggested </w:t>
      </w:r>
      <w:r w:rsidR="00B97272" w:rsidRPr="002F289D">
        <w:rPr>
          <w:rFonts w:cstheme="minorHAnsi"/>
          <w:b/>
          <w:sz w:val="24"/>
          <w:szCs w:val="24"/>
        </w:rPr>
        <w:t>Reference Materials:</w:t>
      </w:r>
      <w:r w:rsidR="0013654F">
        <w:rPr>
          <w:rFonts w:cstheme="minorHAnsi"/>
          <w:b/>
          <w:sz w:val="24"/>
          <w:szCs w:val="24"/>
        </w:rPr>
        <w:t xml:space="preserve">  </w:t>
      </w:r>
    </w:p>
    <w:p w:rsidR="00345F28" w:rsidRDefault="00790BAA" w:rsidP="00345F28">
      <w:pPr>
        <w:rPr>
          <w:rFonts w:cstheme="minorHAnsi"/>
          <w:sz w:val="24"/>
          <w:szCs w:val="24"/>
        </w:rPr>
      </w:pPr>
      <w:hyperlink r:id="rId6" w:history="1">
        <w:r w:rsidR="00345F28" w:rsidRPr="00095D91">
          <w:rPr>
            <w:rStyle w:val="Hyperlink"/>
            <w:rFonts w:cstheme="minorHAnsi"/>
            <w:sz w:val="24"/>
            <w:szCs w:val="24"/>
          </w:rPr>
          <w:t>American Society of Echocardiography Contrast Zone</w:t>
        </w:r>
      </w:hyperlink>
    </w:p>
    <w:p w:rsidR="00345F28" w:rsidRPr="00095D91" w:rsidRDefault="00790BAA" w:rsidP="00345F28">
      <w:pPr>
        <w:rPr>
          <w:rFonts w:cstheme="minorHAnsi"/>
          <w:sz w:val="24"/>
          <w:szCs w:val="24"/>
        </w:rPr>
      </w:pPr>
      <w:hyperlink r:id="rId7" w:history="1">
        <w:r w:rsidR="00345F28" w:rsidRPr="00345F28">
          <w:rPr>
            <w:rStyle w:val="Hyperlink"/>
            <w:rFonts w:cstheme="minorHAnsi"/>
            <w:sz w:val="24"/>
            <w:szCs w:val="24"/>
          </w:rPr>
          <w:t xml:space="preserve">IAC &amp; ICUS Present: IAC &amp; ICUS Present: IV Insertion by a Sonographer | Presented by Pam Burgess, ACS, BS, RDCS, RDMS, RVT, </w:t>
        </w:r>
        <w:proofErr w:type="gramStart"/>
        <w:r w:rsidR="00345F28" w:rsidRPr="00345F28">
          <w:rPr>
            <w:rStyle w:val="Hyperlink"/>
            <w:rFonts w:cstheme="minorHAnsi"/>
            <w:sz w:val="24"/>
            <w:szCs w:val="24"/>
          </w:rPr>
          <w:t>FASE</w:t>
        </w:r>
        <w:proofErr w:type="gramEnd"/>
        <w:r w:rsidR="00345F28" w:rsidRPr="00345F28">
          <w:rPr>
            <w:rStyle w:val="Hyperlink"/>
            <w:rFonts w:cstheme="minorHAnsi"/>
            <w:sz w:val="24"/>
            <w:szCs w:val="24"/>
          </w:rPr>
          <w:t>.</w:t>
        </w:r>
      </w:hyperlink>
    </w:p>
    <w:p w:rsidR="001832AD" w:rsidRDefault="001832AD" w:rsidP="0024577E">
      <w:pPr>
        <w:rPr>
          <w:sz w:val="24"/>
          <w:szCs w:val="24"/>
        </w:rPr>
      </w:pPr>
      <w:r>
        <w:rPr>
          <w:sz w:val="24"/>
          <w:szCs w:val="24"/>
        </w:rPr>
        <w:t xml:space="preserve">Examples of online </w:t>
      </w:r>
      <w:r w:rsidR="003E6B24">
        <w:rPr>
          <w:sz w:val="24"/>
          <w:szCs w:val="24"/>
        </w:rPr>
        <w:t xml:space="preserve">IV insertion </w:t>
      </w:r>
      <w:r>
        <w:rPr>
          <w:sz w:val="24"/>
          <w:szCs w:val="24"/>
        </w:rPr>
        <w:t>videos:</w:t>
      </w:r>
    </w:p>
    <w:p w:rsidR="001832AD" w:rsidRPr="0049421B" w:rsidRDefault="0049421B" w:rsidP="0024577E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"https://www.youtube.com/watch?v=_Xq4S9fqZBY" </w:instrText>
      </w:r>
      <w:r>
        <w:rPr>
          <w:sz w:val="24"/>
          <w:szCs w:val="24"/>
        </w:rPr>
        <w:fldChar w:fldCharType="separate"/>
      </w:r>
      <w:r w:rsidR="001832AD" w:rsidRPr="0049421B">
        <w:rPr>
          <w:rStyle w:val="Hyperlink"/>
          <w:sz w:val="24"/>
          <w:szCs w:val="24"/>
        </w:rPr>
        <w:t xml:space="preserve">"Procedural Demonstration of Inserting a Peripheral IV" by Brienne Leary for </w:t>
      </w:r>
      <w:proofErr w:type="spellStart"/>
      <w:r w:rsidR="001832AD" w:rsidRPr="0049421B">
        <w:rPr>
          <w:rStyle w:val="Hyperlink"/>
          <w:sz w:val="24"/>
          <w:szCs w:val="24"/>
        </w:rPr>
        <w:t>OPENPediatrics</w:t>
      </w:r>
      <w:proofErr w:type="spellEnd"/>
    </w:p>
    <w:p w:rsidR="000816AF" w:rsidRDefault="0049421B" w:rsidP="0024577E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8" w:history="1">
        <w:r w:rsidR="000816AF" w:rsidRPr="000816AF">
          <w:rPr>
            <w:rStyle w:val="Hyperlink"/>
            <w:sz w:val="24"/>
            <w:szCs w:val="24"/>
          </w:rPr>
          <w:t>Starting a Peripheral IV Catheter</w:t>
        </w:r>
      </w:hyperlink>
    </w:p>
    <w:p w:rsidR="00C651D1" w:rsidRDefault="00C651D1" w:rsidP="00C651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of online IV insertion course for purchase</w:t>
      </w:r>
    </w:p>
    <w:p w:rsidR="00C651D1" w:rsidRDefault="00790BAA" w:rsidP="00C651D1">
      <w:hyperlink r:id="rId9" w:history="1">
        <w:r w:rsidR="00C651D1">
          <w:rPr>
            <w:rStyle w:val="Hyperlink"/>
          </w:rPr>
          <w:t>https://infusionknowledge.com/peripheral-iv-catheter-insertion/</w:t>
        </w:r>
      </w:hyperlink>
    </w:p>
    <w:p w:rsidR="00AE77DB" w:rsidRDefault="00AE77DB" w:rsidP="00AE77DB">
      <w:pPr>
        <w:spacing w:after="0"/>
        <w:contextualSpacing/>
        <w:rPr>
          <w:rFonts w:cstheme="minorHAnsi"/>
          <w:sz w:val="24"/>
          <w:szCs w:val="24"/>
        </w:rPr>
      </w:pPr>
      <w:r w:rsidRPr="00056BF8">
        <w:rPr>
          <w:rFonts w:cstheme="minorHAnsi"/>
          <w:sz w:val="24"/>
          <w:szCs w:val="24"/>
        </w:rPr>
        <w:t>Examples</w:t>
      </w:r>
      <w:r>
        <w:rPr>
          <w:rFonts w:cstheme="minorHAnsi"/>
          <w:sz w:val="24"/>
          <w:szCs w:val="24"/>
        </w:rPr>
        <w:t xml:space="preserve"> of books </w:t>
      </w:r>
    </w:p>
    <w:p w:rsidR="00AE77DB" w:rsidRPr="00056BF8" w:rsidRDefault="00AE77DB" w:rsidP="00AE77DB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056BF8">
        <w:rPr>
          <w:rFonts w:cstheme="minorHAnsi"/>
          <w:sz w:val="24"/>
          <w:szCs w:val="24"/>
        </w:rPr>
        <w:t xml:space="preserve">Venous Access Made Easy by James Michael Forsyth, Ahmed </w:t>
      </w:r>
      <w:proofErr w:type="spellStart"/>
      <w:r w:rsidRPr="00056BF8">
        <w:rPr>
          <w:rFonts w:cstheme="minorHAnsi"/>
          <w:sz w:val="24"/>
          <w:szCs w:val="24"/>
        </w:rPr>
        <w:t>Shalan</w:t>
      </w:r>
      <w:proofErr w:type="spellEnd"/>
      <w:r w:rsidRPr="00056BF8">
        <w:rPr>
          <w:rFonts w:cstheme="minorHAnsi"/>
          <w:sz w:val="24"/>
          <w:szCs w:val="24"/>
        </w:rPr>
        <w:t xml:space="preserve">, </w:t>
      </w:r>
      <w:proofErr w:type="gramStart"/>
      <w:r w:rsidRPr="00056BF8">
        <w:rPr>
          <w:rFonts w:cstheme="minorHAnsi"/>
          <w:sz w:val="24"/>
          <w:szCs w:val="24"/>
        </w:rPr>
        <w:t>Andrew</w:t>
      </w:r>
      <w:proofErr w:type="gramEnd"/>
      <w:r w:rsidRPr="00056BF8">
        <w:rPr>
          <w:rFonts w:cstheme="minorHAnsi"/>
          <w:sz w:val="24"/>
          <w:szCs w:val="24"/>
        </w:rPr>
        <w:t xml:space="preserve"> Roger Thompson. ISBN-13: 9780429783081</w:t>
      </w:r>
    </w:p>
    <w:p w:rsidR="00AE77DB" w:rsidRDefault="00AE77DB" w:rsidP="00AE77D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Lippincott Nursing Procedures (2016). IV Catheter Insertion and Removal.  </w:t>
      </w:r>
      <w:r w:rsidRPr="00056BF8">
        <w:rPr>
          <w:rFonts w:cstheme="minorHAnsi"/>
          <w:sz w:val="24"/>
          <w:szCs w:val="24"/>
        </w:rPr>
        <w:t>Lippincott Williams &amp; Wilkins</w:t>
      </w:r>
      <w:r>
        <w:rPr>
          <w:rFonts w:cstheme="minorHAnsi"/>
          <w:sz w:val="24"/>
          <w:szCs w:val="24"/>
        </w:rPr>
        <w:t xml:space="preserve">; </w:t>
      </w:r>
      <w:r w:rsidRPr="00056BF8">
        <w:rPr>
          <w:rFonts w:cstheme="minorHAnsi"/>
          <w:sz w:val="24"/>
          <w:szCs w:val="24"/>
        </w:rPr>
        <w:t>Philadelphia, PA 19103 USA</w:t>
      </w:r>
      <w:r>
        <w:rPr>
          <w:rFonts w:cstheme="minorHAnsi"/>
          <w:sz w:val="24"/>
          <w:szCs w:val="24"/>
        </w:rPr>
        <w:t xml:space="preserve">. </w:t>
      </w:r>
      <w:r w:rsidRPr="00056BF8">
        <w:rPr>
          <w:rFonts w:cstheme="minorHAnsi"/>
          <w:sz w:val="24"/>
          <w:szCs w:val="24"/>
        </w:rPr>
        <w:t>ISBN 978-1-4698-5303-1</w:t>
      </w:r>
    </w:p>
    <w:p w:rsidR="00AE77DB" w:rsidRPr="00056BF8" w:rsidRDefault="00AE77DB" w:rsidP="00AE77DB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Anatomy book of choice detailing venous anatomy</w:t>
      </w:r>
    </w:p>
    <w:p w:rsidR="0024577E" w:rsidRDefault="0024577E" w:rsidP="00E80A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Anatomical models may be obtained through medical suppliers </w:t>
      </w:r>
    </w:p>
    <w:p w:rsidR="00A76EE9" w:rsidRDefault="00A76EE9" w:rsidP="00E80A1A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E80A1A" w:rsidRDefault="00E80A1A" w:rsidP="00E80A1A">
      <w:pPr>
        <w:pStyle w:val="ListParagraph"/>
        <w:numPr>
          <w:ilvl w:val="0"/>
          <w:numId w:val="27"/>
        </w:numPr>
        <w:rPr>
          <w:sz w:val="24"/>
          <w:szCs w:val="24"/>
        </w:rPr>
      </w:pPr>
      <w:hyperlink r:id="rId10" w:history="1">
        <w:proofErr w:type="spellStart"/>
        <w:r w:rsidRPr="00E80A1A">
          <w:rPr>
            <w:rStyle w:val="Hyperlink"/>
            <w:sz w:val="24"/>
            <w:szCs w:val="24"/>
          </w:rPr>
          <w:t>Gaumard</w:t>
        </w:r>
        <w:proofErr w:type="spellEnd"/>
        <w:r w:rsidRPr="00E80A1A">
          <w:rPr>
            <w:rStyle w:val="Hyperlink"/>
            <w:sz w:val="24"/>
            <w:szCs w:val="24"/>
          </w:rPr>
          <w:t xml:space="preserve"> IV training arms</w:t>
        </w:r>
      </w:hyperlink>
    </w:p>
    <w:p w:rsidR="00E80A1A" w:rsidRPr="00A76EE9" w:rsidRDefault="00E80A1A" w:rsidP="00A76EE9">
      <w:pPr>
        <w:pStyle w:val="ListParagraph"/>
        <w:numPr>
          <w:ilvl w:val="0"/>
          <w:numId w:val="27"/>
        </w:numPr>
        <w:rPr>
          <w:sz w:val="24"/>
          <w:szCs w:val="24"/>
        </w:rPr>
      </w:pPr>
      <w:hyperlink r:id="rId11" w:history="1">
        <w:proofErr w:type="spellStart"/>
        <w:r w:rsidRPr="00E80A1A">
          <w:rPr>
            <w:rStyle w:val="Hyperlink"/>
            <w:sz w:val="24"/>
            <w:szCs w:val="24"/>
          </w:rPr>
          <w:t>Laerdal</w:t>
        </w:r>
        <w:proofErr w:type="spellEnd"/>
        <w:r w:rsidRPr="00E80A1A">
          <w:rPr>
            <w:rStyle w:val="Hyperlink"/>
            <w:sz w:val="24"/>
            <w:szCs w:val="24"/>
          </w:rPr>
          <w:t xml:space="preserve"> IV training arms</w:t>
        </w:r>
      </w:hyperlink>
    </w:p>
    <w:p w:rsidR="007B7719" w:rsidRPr="00DF41DF" w:rsidRDefault="00490C21" w:rsidP="00DF41D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2F289D">
        <w:rPr>
          <w:b/>
          <w:sz w:val="28"/>
          <w:szCs w:val="28"/>
        </w:rPr>
        <w:t>ourse Syllabus</w:t>
      </w:r>
      <w:r w:rsidR="00DF41DF">
        <w:rPr>
          <w:b/>
          <w:sz w:val="28"/>
          <w:szCs w:val="28"/>
        </w:rPr>
        <w:t xml:space="preserve"> (Suggested Learning Modules)</w:t>
      </w:r>
    </w:p>
    <w:p w:rsidR="00BA76BF" w:rsidRDefault="00BA76BF" w:rsidP="00495932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Definitions</w:t>
      </w:r>
      <w:r w:rsidR="001178F8">
        <w:rPr>
          <w:sz w:val="24"/>
          <w:szCs w:val="24"/>
        </w:rPr>
        <w:t xml:space="preserve"> (you may choose to include more)</w:t>
      </w:r>
    </w:p>
    <w:p w:rsidR="00BA76BF" w:rsidRPr="00BA76BF" w:rsidRDefault="00855152" w:rsidP="00BA76B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Peripheral Intravenous (PIV) Catheter</w:t>
      </w:r>
      <w:r w:rsidR="00BA76BF" w:rsidRPr="00BA76BF">
        <w:rPr>
          <w:sz w:val="24"/>
          <w:szCs w:val="24"/>
        </w:rPr>
        <w:t>: A short (less than or equal to 7.5 cm) intravenous catheter inserted into a peripheral vein. A PIV permits short-term access of the venous system for intermittent or continuous infusion therapy.</w:t>
      </w:r>
    </w:p>
    <w:p w:rsidR="00BA76BF" w:rsidRPr="00BA76BF" w:rsidRDefault="00BA76BF" w:rsidP="00BA76B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A76BF">
        <w:rPr>
          <w:sz w:val="24"/>
          <w:szCs w:val="24"/>
        </w:rPr>
        <w:t>Infiltration: Inadvertent administration of a non-vesicant medication or solution into the surrounding tissue. Signs and symptoms can include skin blanching, edema, skin cool to touch, and/or pain.</w:t>
      </w:r>
    </w:p>
    <w:p w:rsidR="00BA76BF" w:rsidRPr="00BA76BF" w:rsidRDefault="00BA76BF" w:rsidP="00BA76B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A76BF">
        <w:rPr>
          <w:sz w:val="24"/>
          <w:szCs w:val="24"/>
        </w:rPr>
        <w:t>Extravasation: Inadvertent infiltration of vesicant medications or solution into surrounding tissue.</w:t>
      </w:r>
    </w:p>
    <w:p w:rsidR="00BA76BF" w:rsidRPr="00BA76BF" w:rsidRDefault="00BA76BF" w:rsidP="007B77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A76BF">
        <w:rPr>
          <w:sz w:val="24"/>
          <w:szCs w:val="24"/>
        </w:rPr>
        <w:t>Extension Set: Tubing (approximately 15 cm in length) attached to the PIV cannula at time of insertion.</w:t>
      </w:r>
    </w:p>
    <w:p w:rsidR="007B7719" w:rsidRPr="002A5B17" w:rsidRDefault="007B7719" w:rsidP="0049593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A5B17">
        <w:rPr>
          <w:sz w:val="24"/>
          <w:szCs w:val="24"/>
        </w:rPr>
        <w:t>Legal/policy considerations</w:t>
      </w:r>
    </w:p>
    <w:p w:rsidR="00E32C05" w:rsidRPr="004B19E7" w:rsidRDefault="00E32C05" w:rsidP="00E32C0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 xml:space="preserve">Individual facility/state </w:t>
      </w:r>
      <w:r w:rsidR="00610079">
        <w:rPr>
          <w:sz w:val="24"/>
          <w:szCs w:val="24"/>
        </w:rPr>
        <w:t>policies</w:t>
      </w:r>
    </w:p>
    <w:p w:rsidR="008C142C" w:rsidRPr="00F749C5" w:rsidRDefault="008C142C" w:rsidP="008C142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</w:t>
      </w:r>
      <w:r w:rsidRPr="00F749C5">
        <w:rPr>
          <w:sz w:val="24"/>
          <w:szCs w:val="24"/>
        </w:rPr>
        <w:t>equires hospital approval, knowledge of sterile</w:t>
      </w:r>
      <w:r>
        <w:rPr>
          <w:sz w:val="24"/>
          <w:szCs w:val="24"/>
        </w:rPr>
        <w:t xml:space="preserve"> </w:t>
      </w:r>
      <w:r w:rsidRPr="00F749C5">
        <w:rPr>
          <w:sz w:val="24"/>
          <w:szCs w:val="24"/>
        </w:rPr>
        <w:t>technique and venous anatomy, an</w:t>
      </w:r>
      <w:r>
        <w:rPr>
          <w:sz w:val="24"/>
          <w:szCs w:val="24"/>
        </w:rPr>
        <w:t>d awareness of associated risks</w:t>
      </w:r>
    </w:p>
    <w:p w:rsidR="00E32C05" w:rsidRPr="004B19E7" w:rsidRDefault="00E32C05" w:rsidP="00E32C0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Individual facility practice</w:t>
      </w:r>
    </w:p>
    <w:p w:rsidR="00E32C05" w:rsidRPr="004B19E7" w:rsidRDefault="00E32C05" w:rsidP="00E32C05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Procedures/protocols/standing orders</w:t>
      </w:r>
    </w:p>
    <w:p w:rsidR="00E32C05" w:rsidRPr="004B19E7" w:rsidRDefault="00E32C05" w:rsidP="00E32C05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Indications</w:t>
      </w:r>
    </w:p>
    <w:p w:rsidR="00E32C05" w:rsidRDefault="00E32C05" w:rsidP="00E32C05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Contraindications</w:t>
      </w:r>
    </w:p>
    <w:p w:rsidR="00E32C05" w:rsidRPr="004B19E7" w:rsidRDefault="00E32C05" w:rsidP="00E70BC0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Patient education/consent</w:t>
      </w:r>
      <w:r w:rsidR="0020106D">
        <w:rPr>
          <w:sz w:val="24"/>
          <w:szCs w:val="24"/>
        </w:rPr>
        <w:t xml:space="preserve"> </w:t>
      </w:r>
    </w:p>
    <w:p w:rsidR="00513A6F" w:rsidRPr="00513A6F" w:rsidRDefault="00513A6F" w:rsidP="00513A6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13A6F">
        <w:rPr>
          <w:sz w:val="24"/>
          <w:szCs w:val="24"/>
        </w:rPr>
        <w:t xml:space="preserve">Overview of venous anatomy of the upper extremities </w:t>
      </w:r>
    </w:p>
    <w:p w:rsidR="00513A6F" w:rsidRDefault="00513A6F" w:rsidP="00513A6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894577">
        <w:rPr>
          <w:sz w:val="24"/>
          <w:szCs w:val="24"/>
        </w:rPr>
        <w:t xml:space="preserve">Veins </w:t>
      </w:r>
      <w:r>
        <w:rPr>
          <w:sz w:val="24"/>
          <w:szCs w:val="24"/>
        </w:rPr>
        <w:t xml:space="preserve">typically </w:t>
      </w:r>
      <w:r w:rsidRPr="00894577">
        <w:rPr>
          <w:sz w:val="24"/>
          <w:szCs w:val="24"/>
        </w:rPr>
        <w:t>considered for PIV placement are those found on dorsal and ventral surfaces of the upper extremity, including the metacarpal, cephalic,</w:t>
      </w:r>
      <w:r>
        <w:rPr>
          <w:sz w:val="24"/>
          <w:szCs w:val="24"/>
        </w:rPr>
        <w:t xml:space="preserve"> </w:t>
      </w:r>
      <w:r w:rsidRPr="00894577">
        <w:rPr>
          <w:sz w:val="24"/>
          <w:szCs w:val="24"/>
        </w:rPr>
        <w:t xml:space="preserve">and </w:t>
      </w:r>
      <w:proofErr w:type="spellStart"/>
      <w:r w:rsidRPr="00894577">
        <w:rPr>
          <w:sz w:val="24"/>
          <w:szCs w:val="24"/>
        </w:rPr>
        <w:t>basilic</w:t>
      </w:r>
      <w:proofErr w:type="spellEnd"/>
      <w:r w:rsidRPr="00894577">
        <w:rPr>
          <w:sz w:val="24"/>
          <w:szCs w:val="24"/>
        </w:rPr>
        <w:t xml:space="preserve"> veins.</w:t>
      </w:r>
    </w:p>
    <w:p w:rsidR="00AE4029" w:rsidRPr="00894577" w:rsidRDefault="00AE4029" w:rsidP="00513A6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Review of potential complications of IV insertion</w:t>
      </w:r>
    </w:p>
    <w:p w:rsidR="007B7719" w:rsidRPr="002A5B17" w:rsidRDefault="007B7719" w:rsidP="0049593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2A5B17">
        <w:rPr>
          <w:sz w:val="24"/>
          <w:szCs w:val="24"/>
        </w:rPr>
        <w:lastRenderedPageBreak/>
        <w:t>Placement</w:t>
      </w:r>
      <w:r w:rsidR="00AE4029">
        <w:rPr>
          <w:sz w:val="24"/>
          <w:szCs w:val="24"/>
        </w:rPr>
        <w:t xml:space="preserve"> and Removal</w:t>
      </w:r>
    </w:p>
    <w:p w:rsidR="0049421B" w:rsidRDefault="00FC3A73" w:rsidP="0049421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49421B">
        <w:rPr>
          <w:sz w:val="24"/>
          <w:szCs w:val="24"/>
        </w:rPr>
        <w:t>id</w:t>
      </w:r>
      <w:r>
        <w:rPr>
          <w:sz w:val="24"/>
          <w:szCs w:val="24"/>
        </w:rPr>
        <w:t>eos of IV insertion should be used as appropriate</w:t>
      </w:r>
    </w:p>
    <w:p w:rsidR="00495932" w:rsidRDefault="00495932" w:rsidP="0049593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495932">
        <w:rPr>
          <w:sz w:val="24"/>
          <w:szCs w:val="24"/>
        </w:rPr>
        <w:t>It is recommende</w:t>
      </w:r>
      <w:r>
        <w:rPr>
          <w:sz w:val="24"/>
          <w:szCs w:val="24"/>
        </w:rPr>
        <w:t>d that no more than two persons</w:t>
      </w:r>
      <w:r w:rsidRPr="00495932">
        <w:rPr>
          <w:sz w:val="24"/>
          <w:szCs w:val="24"/>
        </w:rPr>
        <w:t xml:space="preserve"> attempt placement</w:t>
      </w:r>
      <w:r>
        <w:rPr>
          <w:sz w:val="24"/>
          <w:szCs w:val="24"/>
        </w:rPr>
        <w:t xml:space="preserve"> (maximum of four attempts)</w:t>
      </w:r>
      <w:r w:rsidRPr="00495932">
        <w:rPr>
          <w:sz w:val="24"/>
          <w:szCs w:val="24"/>
        </w:rPr>
        <w:t xml:space="preserve">. Multiple unsuccessful attempts </w:t>
      </w:r>
      <w:r w:rsidR="00BA7776">
        <w:rPr>
          <w:sz w:val="24"/>
          <w:szCs w:val="24"/>
        </w:rPr>
        <w:t xml:space="preserve">may </w:t>
      </w:r>
      <w:r w:rsidRPr="00495932">
        <w:rPr>
          <w:sz w:val="24"/>
          <w:szCs w:val="24"/>
        </w:rPr>
        <w:t>limit future</w:t>
      </w:r>
      <w:r>
        <w:rPr>
          <w:sz w:val="24"/>
          <w:szCs w:val="24"/>
        </w:rPr>
        <w:t xml:space="preserve"> </w:t>
      </w:r>
      <w:r w:rsidRPr="00495932">
        <w:rPr>
          <w:sz w:val="24"/>
          <w:szCs w:val="24"/>
        </w:rPr>
        <w:t xml:space="preserve">vascular access and cause unnecessary trauma to the patient. </w:t>
      </w:r>
    </w:p>
    <w:p w:rsidR="006B2FC1" w:rsidRDefault="0049421B" w:rsidP="0049593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Discuss a</w:t>
      </w:r>
      <w:r w:rsidR="006B2FC1">
        <w:rPr>
          <w:sz w:val="24"/>
          <w:szCs w:val="24"/>
        </w:rPr>
        <w:t>ppropriate catheter size and length for UEA administration</w:t>
      </w:r>
    </w:p>
    <w:p w:rsidR="001C5484" w:rsidRDefault="009F63E1" w:rsidP="001C5484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18-20 gauge catheters preferred</w:t>
      </w:r>
    </w:p>
    <w:p w:rsidR="00AE4029" w:rsidRPr="00AE4029" w:rsidRDefault="00AE4029" w:rsidP="00AE402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Refer to provided PPT for general insertion and removal guidance, being aware that facility policies may differ</w:t>
      </w:r>
    </w:p>
    <w:p w:rsidR="007B7719" w:rsidRDefault="009D4A55" w:rsidP="009D4A55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7B7719" w:rsidRPr="002A5B17">
        <w:rPr>
          <w:sz w:val="24"/>
          <w:szCs w:val="24"/>
        </w:rPr>
        <w:t>Documentation</w:t>
      </w:r>
      <w:r w:rsidR="004615AC">
        <w:rPr>
          <w:sz w:val="24"/>
          <w:szCs w:val="24"/>
        </w:rPr>
        <w:t xml:space="preserve"> </w:t>
      </w:r>
      <w:r>
        <w:rPr>
          <w:sz w:val="24"/>
          <w:szCs w:val="24"/>
        </w:rPr>
        <w:t>Guidelines (facility policies may differ)</w:t>
      </w:r>
      <w:bookmarkStart w:id="0" w:name="_GoBack"/>
      <w:bookmarkEnd w:id="0"/>
    </w:p>
    <w:p w:rsidR="009D4A55" w:rsidRPr="004B19E7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4B19E7">
        <w:rPr>
          <w:sz w:val="24"/>
          <w:szCs w:val="24"/>
        </w:rPr>
        <w:t>Patient education/consent</w:t>
      </w:r>
    </w:p>
    <w:p w:rsidR="009D4A55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Date/time</w:t>
      </w:r>
    </w:p>
    <w:p w:rsidR="009D4A55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Ordering physician</w:t>
      </w:r>
    </w:p>
    <w:p w:rsidR="009D4A55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Responsible individual</w:t>
      </w:r>
    </w:p>
    <w:p w:rsidR="009D4A55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Location of IV access/catheter size</w:t>
      </w:r>
    </w:p>
    <w:p w:rsidR="009D4A55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Complications or inability to obtain access</w:t>
      </w:r>
    </w:p>
    <w:p w:rsidR="004615AC" w:rsidRPr="009D4A55" w:rsidRDefault="009D4A55" w:rsidP="009D4A5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9D4A55">
        <w:rPr>
          <w:sz w:val="24"/>
          <w:szCs w:val="24"/>
        </w:rPr>
        <w:t>Patient status post-procedure</w:t>
      </w:r>
    </w:p>
    <w:p w:rsidR="00615387" w:rsidRDefault="00615387" w:rsidP="00EC598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Practice Lab with anatomic model</w:t>
      </w:r>
    </w:p>
    <w:p w:rsidR="00790BAA" w:rsidRDefault="00790BAA" w:rsidP="00790BAA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Enlist qualified faculty</w:t>
      </w:r>
    </w:p>
    <w:p w:rsidR="00EC5987" w:rsidRDefault="008A35DA" w:rsidP="00EC598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EC5987">
        <w:rPr>
          <w:sz w:val="24"/>
          <w:szCs w:val="24"/>
        </w:rPr>
        <w:t>PIV insertion</w:t>
      </w:r>
    </w:p>
    <w:p w:rsidR="00EC5987" w:rsidRPr="00EC5987" w:rsidRDefault="00EC5987" w:rsidP="00EC5987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Determine minimum number of practice attempts prior to competency testing</w:t>
      </w:r>
    </w:p>
    <w:p w:rsidR="008A35DA" w:rsidRDefault="008A35DA" w:rsidP="00EC598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EC5987">
        <w:rPr>
          <w:sz w:val="24"/>
          <w:szCs w:val="24"/>
        </w:rPr>
        <w:t>PIV removal</w:t>
      </w:r>
      <w:r w:rsidR="00EC5987">
        <w:rPr>
          <w:sz w:val="24"/>
          <w:szCs w:val="24"/>
        </w:rPr>
        <w:t xml:space="preserve"> and site care</w:t>
      </w:r>
    </w:p>
    <w:p w:rsidR="00EC5987" w:rsidRDefault="00EC5987" w:rsidP="00EC5987">
      <w:pPr>
        <w:pStyle w:val="ListParagraph"/>
        <w:numPr>
          <w:ilvl w:val="1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Determine minimum number of practice attempts prior to competency testing</w:t>
      </w:r>
    </w:p>
    <w:p w:rsidR="00EC5987" w:rsidRPr="00EC5987" w:rsidRDefault="00EC5987" w:rsidP="00EC598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Documentation </w:t>
      </w:r>
      <w:r w:rsidR="00C651D1">
        <w:rPr>
          <w:sz w:val="24"/>
          <w:szCs w:val="24"/>
        </w:rPr>
        <w:t>of lab</w:t>
      </w:r>
      <w:r w:rsidR="00D40566">
        <w:rPr>
          <w:sz w:val="24"/>
          <w:szCs w:val="24"/>
        </w:rPr>
        <w:t>-based</w:t>
      </w:r>
      <w:r w:rsidR="00C651D1">
        <w:rPr>
          <w:sz w:val="24"/>
          <w:szCs w:val="24"/>
        </w:rPr>
        <w:t xml:space="preserve"> </w:t>
      </w:r>
      <w:r>
        <w:rPr>
          <w:sz w:val="24"/>
          <w:szCs w:val="24"/>
        </w:rPr>
        <w:t>competency</w:t>
      </w:r>
      <w:r w:rsidR="00D40566">
        <w:rPr>
          <w:sz w:val="24"/>
          <w:szCs w:val="24"/>
        </w:rPr>
        <w:t xml:space="preserve"> testing</w:t>
      </w:r>
    </w:p>
    <w:p w:rsidR="003D7DAB" w:rsidRDefault="00615387" w:rsidP="007B771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Plan for </w:t>
      </w:r>
      <w:r w:rsidR="003D7DAB">
        <w:rPr>
          <w:sz w:val="24"/>
          <w:szCs w:val="24"/>
        </w:rPr>
        <w:t>transition to clinical practice</w:t>
      </w:r>
      <w:r w:rsidR="00381DFB">
        <w:rPr>
          <w:sz w:val="24"/>
          <w:szCs w:val="24"/>
        </w:rPr>
        <w:t xml:space="preserve"> </w:t>
      </w:r>
      <w:r w:rsidR="00C651D1">
        <w:rPr>
          <w:sz w:val="24"/>
          <w:szCs w:val="24"/>
        </w:rPr>
        <w:t xml:space="preserve">and competency testing </w:t>
      </w:r>
      <w:r w:rsidR="009100FB">
        <w:rPr>
          <w:sz w:val="24"/>
          <w:szCs w:val="24"/>
        </w:rPr>
        <w:t>according to facility policy</w:t>
      </w:r>
    </w:p>
    <w:p w:rsidR="003D7DAB" w:rsidRPr="002A5B17" w:rsidRDefault="003D7DAB" w:rsidP="003D7DA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Plan for o</w:t>
      </w:r>
      <w:r w:rsidRPr="002A5B17">
        <w:rPr>
          <w:sz w:val="24"/>
          <w:szCs w:val="24"/>
        </w:rPr>
        <w:t xml:space="preserve">ngoing </w:t>
      </w:r>
      <w:r>
        <w:rPr>
          <w:sz w:val="24"/>
          <w:szCs w:val="24"/>
        </w:rPr>
        <w:t>c</w:t>
      </w:r>
      <w:r w:rsidRPr="002A5B17">
        <w:rPr>
          <w:sz w:val="24"/>
          <w:szCs w:val="24"/>
        </w:rPr>
        <w:t xml:space="preserve">ompetency </w:t>
      </w:r>
      <w:r w:rsidR="00931594">
        <w:rPr>
          <w:sz w:val="24"/>
          <w:szCs w:val="24"/>
        </w:rPr>
        <w:t>(if applicable)</w:t>
      </w:r>
    </w:p>
    <w:p w:rsidR="0024577E" w:rsidRPr="00FE37E5" w:rsidRDefault="0024577E" w:rsidP="00FE37E5">
      <w:pPr>
        <w:rPr>
          <w:sz w:val="24"/>
          <w:szCs w:val="24"/>
        </w:rPr>
      </w:pPr>
    </w:p>
    <w:sectPr w:rsidR="0024577E" w:rsidRPr="00FE37E5" w:rsidSect="00757D9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AAA"/>
    <w:multiLevelType w:val="hybridMultilevel"/>
    <w:tmpl w:val="B16C29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E421E3"/>
    <w:multiLevelType w:val="hybridMultilevel"/>
    <w:tmpl w:val="573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7FB"/>
    <w:multiLevelType w:val="hybridMultilevel"/>
    <w:tmpl w:val="A94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90A"/>
    <w:multiLevelType w:val="hybridMultilevel"/>
    <w:tmpl w:val="DE0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BF6"/>
    <w:multiLevelType w:val="hybridMultilevel"/>
    <w:tmpl w:val="FBF6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0052"/>
    <w:multiLevelType w:val="hybridMultilevel"/>
    <w:tmpl w:val="DB2E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23D"/>
    <w:multiLevelType w:val="hybridMultilevel"/>
    <w:tmpl w:val="053E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E5086"/>
    <w:multiLevelType w:val="hybridMultilevel"/>
    <w:tmpl w:val="C7FC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74E2"/>
    <w:multiLevelType w:val="hybridMultilevel"/>
    <w:tmpl w:val="B1B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23B77"/>
    <w:multiLevelType w:val="hybridMultilevel"/>
    <w:tmpl w:val="2C8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4991"/>
    <w:multiLevelType w:val="hybridMultilevel"/>
    <w:tmpl w:val="09C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B465B"/>
    <w:multiLevelType w:val="hybridMultilevel"/>
    <w:tmpl w:val="A72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75BA"/>
    <w:multiLevelType w:val="hybridMultilevel"/>
    <w:tmpl w:val="593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2CFE"/>
    <w:multiLevelType w:val="hybridMultilevel"/>
    <w:tmpl w:val="874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C5CA0"/>
    <w:multiLevelType w:val="hybridMultilevel"/>
    <w:tmpl w:val="3A1A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A101A"/>
    <w:multiLevelType w:val="hybridMultilevel"/>
    <w:tmpl w:val="E9A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344FB"/>
    <w:multiLevelType w:val="hybridMultilevel"/>
    <w:tmpl w:val="DA2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C1338"/>
    <w:multiLevelType w:val="hybridMultilevel"/>
    <w:tmpl w:val="2302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42620"/>
    <w:multiLevelType w:val="hybridMultilevel"/>
    <w:tmpl w:val="CBD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F2831"/>
    <w:multiLevelType w:val="hybridMultilevel"/>
    <w:tmpl w:val="571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0B67"/>
    <w:multiLevelType w:val="hybridMultilevel"/>
    <w:tmpl w:val="5080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BBB"/>
    <w:multiLevelType w:val="hybridMultilevel"/>
    <w:tmpl w:val="CF7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2370"/>
    <w:multiLevelType w:val="hybridMultilevel"/>
    <w:tmpl w:val="895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A6611"/>
    <w:multiLevelType w:val="hybridMultilevel"/>
    <w:tmpl w:val="E0B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C29BE"/>
    <w:multiLevelType w:val="hybridMultilevel"/>
    <w:tmpl w:val="2AF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D1073"/>
    <w:multiLevelType w:val="hybridMultilevel"/>
    <w:tmpl w:val="702E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659B0"/>
    <w:multiLevelType w:val="hybridMultilevel"/>
    <w:tmpl w:val="3114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"/>
  </w:num>
  <w:num w:numId="5">
    <w:abstractNumId w:val="23"/>
  </w:num>
  <w:num w:numId="6">
    <w:abstractNumId w:val="16"/>
  </w:num>
  <w:num w:numId="7">
    <w:abstractNumId w:val="24"/>
  </w:num>
  <w:num w:numId="8">
    <w:abstractNumId w:val="18"/>
  </w:num>
  <w:num w:numId="9">
    <w:abstractNumId w:val="10"/>
  </w:num>
  <w:num w:numId="10">
    <w:abstractNumId w:val="13"/>
  </w:num>
  <w:num w:numId="11">
    <w:abstractNumId w:val="20"/>
  </w:num>
  <w:num w:numId="12">
    <w:abstractNumId w:val="0"/>
  </w:num>
  <w:num w:numId="13">
    <w:abstractNumId w:val="26"/>
  </w:num>
  <w:num w:numId="14">
    <w:abstractNumId w:val="8"/>
  </w:num>
  <w:num w:numId="15">
    <w:abstractNumId w:val="25"/>
  </w:num>
  <w:num w:numId="16">
    <w:abstractNumId w:val="22"/>
  </w:num>
  <w:num w:numId="17">
    <w:abstractNumId w:val="14"/>
  </w:num>
  <w:num w:numId="18">
    <w:abstractNumId w:val="3"/>
  </w:num>
  <w:num w:numId="19">
    <w:abstractNumId w:val="15"/>
  </w:num>
  <w:num w:numId="20">
    <w:abstractNumId w:val="2"/>
  </w:num>
  <w:num w:numId="21">
    <w:abstractNumId w:val="11"/>
  </w:num>
  <w:num w:numId="22">
    <w:abstractNumId w:val="4"/>
  </w:num>
  <w:num w:numId="23">
    <w:abstractNumId w:val="9"/>
  </w:num>
  <w:num w:numId="24">
    <w:abstractNumId w:val="12"/>
  </w:num>
  <w:num w:numId="25">
    <w:abstractNumId w:val="17"/>
  </w:num>
  <w:num w:numId="26">
    <w:abstractNumId w:val="7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B"/>
    <w:rsid w:val="0000536F"/>
    <w:rsid w:val="000129FE"/>
    <w:rsid w:val="00022293"/>
    <w:rsid w:val="000233D8"/>
    <w:rsid w:val="00030285"/>
    <w:rsid w:val="00031135"/>
    <w:rsid w:val="00036958"/>
    <w:rsid w:val="00037E38"/>
    <w:rsid w:val="00040D20"/>
    <w:rsid w:val="00042608"/>
    <w:rsid w:val="0004793E"/>
    <w:rsid w:val="000523B5"/>
    <w:rsid w:val="000529E5"/>
    <w:rsid w:val="00056BF8"/>
    <w:rsid w:val="000736B1"/>
    <w:rsid w:val="0007537D"/>
    <w:rsid w:val="000816AF"/>
    <w:rsid w:val="00090155"/>
    <w:rsid w:val="000A7AF3"/>
    <w:rsid w:val="000C1968"/>
    <w:rsid w:val="000C33C8"/>
    <w:rsid w:val="000D0338"/>
    <w:rsid w:val="000F0626"/>
    <w:rsid w:val="000F688F"/>
    <w:rsid w:val="001001FE"/>
    <w:rsid w:val="00106868"/>
    <w:rsid w:val="001121BF"/>
    <w:rsid w:val="00113232"/>
    <w:rsid w:val="001164F9"/>
    <w:rsid w:val="001178F8"/>
    <w:rsid w:val="00126D6A"/>
    <w:rsid w:val="00131DBA"/>
    <w:rsid w:val="0013654F"/>
    <w:rsid w:val="00140EB4"/>
    <w:rsid w:val="00165968"/>
    <w:rsid w:val="001832AD"/>
    <w:rsid w:val="001955B3"/>
    <w:rsid w:val="00195D1F"/>
    <w:rsid w:val="001B6A65"/>
    <w:rsid w:val="001B70D1"/>
    <w:rsid w:val="001C5484"/>
    <w:rsid w:val="001C6168"/>
    <w:rsid w:val="001E6AB9"/>
    <w:rsid w:val="001F23D3"/>
    <w:rsid w:val="0020106D"/>
    <w:rsid w:val="002053FF"/>
    <w:rsid w:val="002114D2"/>
    <w:rsid w:val="00231AC8"/>
    <w:rsid w:val="0023474C"/>
    <w:rsid w:val="0024577E"/>
    <w:rsid w:val="0025243A"/>
    <w:rsid w:val="00257C00"/>
    <w:rsid w:val="002608BD"/>
    <w:rsid w:val="00263CE1"/>
    <w:rsid w:val="00281825"/>
    <w:rsid w:val="00286870"/>
    <w:rsid w:val="0029691C"/>
    <w:rsid w:val="002A5B17"/>
    <w:rsid w:val="002B5AE6"/>
    <w:rsid w:val="002B74F4"/>
    <w:rsid w:val="002C3F55"/>
    <w:rsid w:val="002D5445"/>
    <w:rsid w:val="002D58A5"/>
    <w:rsid w:val="002D72D7"/>
    <w:rsid w:val="002D7CF6"/>
    <w:rsid w:val="002E2732"/>
    <w:rsid w:val="002F2272"/>
    <w:rsid w:val="002F289D"/>
    <w:rsid w:val="002F610F"/>
    <w:rsid w:val="003148FE"/>
    <w:rsid w:val="00345F28"/>
    <w:rsid w:val="00372B76"/>
    <w:rsid w:val="0037325C"/>
    <w:rsid w:val="00381DFB"/>
    <w:rsid w:val="003A02C9"/>
    <w:rsid w:val="003A7E36"/>
    <w:rsid w:val="003B509A"/>
    <w:rsid w:val="003C1D5B"/>
    <w:rsid w:val="003C2F61"/>
    <w:rsid w:val="003D7DAB"/>
    <w:rsid w:val="003E2224"/>
    <w:rsid w:val="003E6B24"/>
    <w:rsid w:val="003F12B8"/>
    <w:rsid w:val="003F33AE"/>
    <w:rsid w:val="00403E58"/>
    <w:rsid w:val="00410565"/>
    <w:rsid w:val="004129A1"/>
    <w:rsid w:val="00421BBE"/>
    <w:rsid w:val="00421DAF"/>
    <w:rsid w:val="00427C5C"/>
    <w:rsid w:val="004417FB"/>
    <w:rsid w:val="00442413"/>
    <w:rsid w:val="00447936"/>
    <w:rsid w:val="004603B7"/>
    <w:rsid w:val="004615AC"/>
    <w:rsid w:val="0046637D"/>
    <w:rsid w:val="0046647E"/>
    <w:rsid w:val="00471227"/>
    <w:rsid w:val="00473CBD"/>
    <w:rsid w:val="0048133C"/>
    <w:rsid w:val="00481995"/>
    <w:rsid w:val="00490C21"/>
    <w:rsid w:val="0049421B"/>
    <w:rsid w:val="00495932"/>
    <w:rsid w:val="004A0935"/>
    <w:rsid w:val="004A7C58"/>
    <w:rsid w:val="004B4109"/>
    <w:rsid w:val="004C4924"/>
    <w:rsid w:val="004C5B71"/>
    <w:rsid w:val="004C7B17"/>
    <w:rsid w:val="004E118B"/>
    <w:rsid w:val="004F13AC"/>
    <w:rsid w:val="004F221D"/>
    <w:rsid w:val="00503D90"/>
    <w:rsid w:val="00512EE4"/>
    <w:rsid w:val="00513A6F"/>
    <w:rsid w:val="00516C1E"/>
    <w:rsid w:val="005211B2"/>
    <w:rsid w:val="00521418"/>
    <w:rsid w:val="00523707"/>
    <w:rsid w:val="00531ED8"/>
    <w:rsid w:val="0053200B"/>
    <w:rsid w:val="005500F6"/>
    <w:rsid w:val="00554121"/>
    <w:rsid w:val="00561F2D"/>
    <w:rsid w:val="005867CA"/>
    <w:rsid w:val="00590431"/>
    <w:rsid w:val="005942B3"/>
    <w:rsid w:val="00594E94"/>
    <w:rsid w:val="00597284"/>
    <w:rsid w:val="005974E0"/>
    <w:rsid w:val="005A0CA3"/>
    <w:rsid w:val="005A3B5B"/>
    <w:rsid w:val="005B634D"/>
    <w:rsid w:val="005C571F"/>
    <w:rsid w:val="0060558E"/>
    <w:rsid w:val="00610079"/>
    <w:rsid w:val="00610EA7"/>
    <w:rsid w:val="00611A88"/>
    <w:rsid w:val="00615387"/>
    <w:rsid w:val="00635552"/>
    <w:rsid w:val="00636793"/>
    <w:rsid w:val="00647F76"/>
    <w:rsid w:val="00657613"/>
    <w:rsid w:val="00657C5D"/>
    <w:rsid w:val="00666504"/>
    <w:rsid w:val="0067604D"/>
    <w:rsid w:val="00694C81"/>
    <w:rsid w:val="0069702B"/>
    <w:rsid w:val="006A1C83"/>
    <w:rsid w:val="006A421D"/>
    <w:rsid w:val="006A6094"/>
    <w:rsid w:val="006B2777"/>
    <w:rsid w:val="006B2A09"/>
    <w:rsid w:val="006B2FC1"/>
    <w:rsid w:val="006B523B"/>
    <w:rsid w:val="006C0E12"/>
    <w:rsid w:val="006D212C"/>
    <w:rsid w:val="006E50EE"/>
    <w:rsid w:val="006F2658"/>
    <w:rsid w:val="006F49DF"/>
    <w:rsid w:val="00704C4C"/>
    <w:rsid w:val="00710B62"/>
    <w:rsid w:val="00730198"/>
    <w:rsid w:val="0073110C"/>
    <w:rsid w:val="007409A0"/>
    <w:rsid w:val="00743BFF"/>
    <w:rsid w:val="007448EC"/>
    <w:rsid w:val="00751829"/>
    <w:rsid w:val="00757D9F"/>
    <w:rsid w:val="007666B9"/>
    <w:rsid w:val="00787A3F"/>
    <w:rsid w:val="00790BAA"/>
    <w:rsid w:val="007931AE"/>
    <w:rsid w:val="007937E3"/>
    <w:rsid w:val="007A2097"/>
    <w:rsid w:val="007B7719"/>
    <w:rsid w:val="007C79F4"/>
    <w:rsid w:val="007D4477"/>
    <w:rsid w:val="007D73B3"/>
    <w:rsid w:val="007E1C11"/>
    <w:rsid w:val="007F0C27"/>
    <w:rsid w:val="007F5F2B"/>
    <w:rsid w:val="007F7F4D"/>
    <w:rsid w:val="00804370"/>
    <w:rsid w:val="008221CE"/>
    <w:rsid w:val="00855152"/>
    <w:rsid w:val="00870FDE"/>
    <w:rsid w:val="00873BCA"/>
    <w:rsid w:val="00880CCC"/>
    <w:rsid w:val="00880E61"/>
    <w:rsid w:val="008833B7"/>
    <w:rsid w:val="0088790E"/>
    <w:rsid w:val="00887D31"/>
    <w:rsid w:val="008936A5"/>
    <w:rsid w:val="00894577"/>
    <w:rsid w:val="008A1F70"/>
    <w:rsid w:val="008A2C56"/>
    <w:rsid w:val="008A35DA"/>
    <w:rsid w:val="008B400A"/>
    <w:rsid w:val="008C142C"/>
    <w:rsid w:val="008D4B95"/>
    <w:rsid w:val="008D6E56"/>
    <w:rsid w:val="008E1543"/>
    <w:rsid w:val="008E355F"/>
    <w:rsid w:val="008F17BD"/>
    <w:rsid w:val="008F4E52"/>
    <w:rsid w:val="00903FD8"/>
    <w:rsid w:val="009100FB"/>
    <w:rsid w:val="009130AD"/>
    <w:rsid w:val="00931594"/>
    <w:rsid w:val="00935EB9"/>
    <w:rsid w:val="00941A70"/>
    <w:rsid w:val="00942BA1"/>
    <w:rsid w:val="009438E8"/>
    <w:rsid w:val="009465B8"/>
    <w:rsid w:val="00954407"/>
    <w:rsid w:val="00965EC1"/>
    <w:rsid w:val="00980EF4"/>
    <w:rsid w:val="00992221"/>
    <w:rsid w:val="009B2B9B"/>
    <w:rsid w:val="009C2489"/>
    <w:rsid w:val="009D1393"/>
    <w:rsid w:val="009D4A55"/>
    <w:rsid w:val="009E3206"/>
    <w:rsid w:val="009E4C53"/>
    <w:rsid w:val="009E4D48"/>
    <w:rsid w:val="009F63E1"/>
    <w:rsid w:val="00A04067"/>
    <w:rsid w:val="00A161AD"/>
    <w:rsid w:val="00A1759F"/>
    <w:rsid w:val="00A2115B"/>
    <w:rsid w:val="00A30960"/>
    <w:rsid w:val="00A468DF"/>
    <w:rsid w:val="00A515F8"/>
    <w:rsid w:val="00A5167F"/>
    <w:rsid w:val="00A525CC"/>
    <w:rsid w:val="00A55734"/>
    <w:rsid w:val="00A70498"/>
    <w:rsid w:val="00A764D7"/>
    <w:rsid w:val="00A76EE9"/>
    <w:rsid w:val="00A859EE"/>
    <w:rsid w:val="00A95EA8"/>
    <w:rsid w:val="00A974F6"/>
    <w:rsid w:val="00AA4ADA"/>
    <w:rsid w:val="00AB13A6"/>
    <w:rsid w:val="00AC1A9D"/>
    <w:rsid w:val="00AC7E87"/>
    <w:rsid w:val="00AD7D38"/>
    <w:rsid w:val="00AE4029"/>
    <w:rsid w:val="00AE77DB"/>
    <w:rsid w:val="00B16541"/>
    <w:rsid w:val="00B20B15"/>
    <w:rsid w:val="00B3088B"/>
    <w:rsid w:val="00B32911"/>
    <w:rsid w:val="00B558D3"/>
    <w:rsid w:val="00B5627C"/>
    <w:rsid w:val="00B6339F"/>
    <w:rsid w:val="00B64436"/>
    <w:rsid w:val="00B6607E"/>
    <w:rsid w:val="00B7541B"/>
    <w:rsid w:val="00B75E11"/>
    <w:rsid w:val="00B92694"/>
    <w:rsid w:val="00B9496E"/>
    <w:rsid w:val="00B97272"/>
    <w:rsid w:val="00B97A90"/>
    <w:rsid w:val="00BA43D7"/>
    <w:rsid w:val="00BA76BF"/>
    <w:rsid w:val="00BA7776"/>
    <w:rsid w:val="00BB24D4"/>
    <w:rsid w:val="00BB3352"/>
    <w:rsid w:val="00BB41BA"/>
    <w:rsid w:val="00BB6051"/>
    <w:rsid w:val="00BF38AF"/>
    <w:rsid w:val="00BF5EAD"/>
    <w:rsid w:val="00C00680"/>
    <w:rsid w:val="00C00E5E"/>
    <w:rsid w:val="00C010ED"/>
    <w:rsid w:val="00C24F00"/>
    <w:rsid w:val="00C52E19"/>
    <w:rsid w:val="00C539D3"/>
    <w:rsid w:val="00C651D1"/>
    <w:rsid w:val="00C6586D"/>
    <w:rsid w:val="00C71C24"/>
    <w:rsid w:val="00C750C3"/>
    <w:rsid w:val="00C91581"/>
    <w:rsid w:val="00CB29C6"/>
    <w:rsid w:val="00CC4364"/>
    <w:rsid w:val="00CC6BA0"/>
    <w:rsid w:val="00CD6EA2"/>
    <w:rsid w:val="00CE4DFA"/>
    <w:rsid w:val="00CE5823"/>
    <w:rsid w:val="00CE732B"/>
    <w:rsid w:val="00CF07BD"/>
    <w:rsid w:val="00CF0ECF"/>
    <w:rsid w:val="00CF27D7"/>
    <w:rsid w:val="00D01049"/>
    <w:rsid w:val="00D01378"/>
    <w:rsid w:val="00D05AC5"/>
    <w:rsid w:val="00D06A36"/>
    <w:rsid w:val="00D06EB1"/>
    <w:rsid w:val="00D15DF5"/>
    <w:rsid w:val="00D307A6"/>
    <w:rsid w:val="00D32325"/>
    <w:rsid w:val="00D40566"/>
    <w:rsid w:val="00D41CD5"/>
    <w:rsid w:val="00D46319"/>
    <w:rsid w:val="00D5012E"/>
    <w:rsid w:val="00D56A97"/>
    <w:rsid w:val="00D70A3C"/>
    <w:rsid w:val="00D753AE"/>
    <w:rsid w:val="00D82092"/>
    <w:rsid w:val="00D92B5D"/>
    <w:rsid w:val="00D96F65"/>
    <w:rsid w:val="00DB14B7"/>
    <w:rsid w:val="00DB1BAB"/>
    <w:rsid w:val="00DB27E8"/>
    <w:rsid w:val="00DD0CEF"/>
    <w:rsid w:val="00DD5BDF"/>
    <w:rsid w:val="00DE06AF"/>
    <w:rsid w:val="00DE3EB0"/>
    <w:rsid w:val="00DF41DF"/>
    <w:rsid w:val="00DF4785"/>
    <w:rsid w:val="00E06B46"/>
    <w:rsid w:val="00E25C57"/>
    <w:rsid w:val="00E31971"/>
    <w:rsid w:val="00E32C05"/>
    <w:rsid w:val="00E336EF"/>
    <w:rsid w:val="00E349B8"/>
    <w:rsid w:val="00E54082"/>
    <w:rsid w:val="00E54EC9"/>
    <w:rsid w:val="00E56D4A"/>
    <w:rsid w:val="00E65DB9"/>
    <w:rsid w:val="00E70BC0"/>
    <w:rsid w:val="00E727A4"/>
    <w:rsid w:val="00E74CD9"/>
    <w:rsid w:val="00E74DB2"/>
    <w:rsid w:val="00E80A1A"/>
    <w:rsid w:val="00E8457D"/>
    <w:rsid w:val="00E931C8"/>
    <w:rsid w:val="00EB10A6"/>
    <w:rsid w:val="00EC5987"/>
    <w:rsid w:val="00ED0078"/>
    <w:rsid w:val="00ED3C0E"/>
    <w:rsid w:val="00EE5565"/>
    <w:rsid w:val="00EF1C52"/>
    <w:rsid w:val="00EF3BAD"/>
    <w:rsid w:val="00EF3C6A"/>
    <w:rsid w:val="00EF525A"/>
    <w:rsid w:val="00F01F49"/>
    <w:rsid w:val="00F0760A"/>
    <w:rsid w:val="00F132AC"/>
    <w:rsid w:val="00F257DD"/>
    <w:rsid w:val="00F27CF5"/>
    <w:rsid w:val="00F37D23"/>
    <w:rsid w:val="00F403A5"/>
    <w:rsid w:val="00F42581"/>
    <w:rsid w:val="00F473B8"/>
    <w:rsid w:val="00F47990"/>
    <w:rsid w:val="00F55000"/>
    <w:rsid w:val="00F61C5E"/>
    <w:rsid w:val="00F64F10"/>
    <w:rsid w:val="00F739A8"/>
    <w:rsid w:val="00F73AF0"/>
    <w:rsid w:val="00F75F86"/>
    <w:rsid w:val="00F8325A"/>
    <w:rsid w:val="00FA08C4"/>
    <w:rsid w:val="00FB2195"/>
    <w:rsid w:val="00FB4031"/>
    <w:rsid w:val="00FB42DD"/>
    <w:rsid w:val="00FB520B"/>
    <w:rsid w:val="00FB655F"/>
    <w:rsid w:val="00FC3A73"/>
    <w:rsid w:val="00FC652C"/>
    <w:rsid w:val="00FD0D74"/>
    <w:rsid w:val="00FD67D3"/>
    <w:rsid w:val="00FD6A08"/>
    <w:rsid w:val="00FE1817"/>
    <w:rsid w:val="00FE37E5"/>
    <w:rsid w:val="00FF2E37"/>
    <w:rsid w:val="00FF49AE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4D"/>
    <w:rPr>
      <w:color w:val="0000FF" w:themeColor="hyperlink"/>
      <w:u w:val="single"/>
    </w:rPr>
  </w:style>
  <w:style w:type="character" w:customStyle="1" w:styleId="pib-employee-name1">
    <w:name w:val="pib-employee-name1"/>
    <w:basedOn w:val="DefaultParagraphFont"/>
    <w:rsid w:val="00B97272"/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B97272"/>
    <w:pPr>
      <w:spacing w:after="0" w:line="240" w:lineRule="auto"/>
      <w:ind w:righ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72"/>
    <w:pPr>
      <w:spacing w:after="0" w:line="240" w:lineRule="auto"/>
      <w:ind w:right="21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972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9727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34D"/>
    <w:rPr>
      <w:color w:val="0000FF" w:themeColor="hyperlink"/>
      <w:u w:val="single"/>
    </w:rPr>
  </w:style>
  <w:style w:type="character" w:customStyle="1" w:styleId="pib-employee-name1">
    <w:name w:val="pib-employee-name1"/>
    <w:basedOn w:val="DefaultParagraphFont"/>
    <w:rsid w:val="00B97272"/>
    <w:rPr>
      <w:b/>
      <w:bCs/>
      <w:sz w:val="21"/>
      <w:szCs w:val="21"/>
    </w:rPr>
  </w:style>
  <w:style w:type="table" w:styleId="TableGrid">
    <w:name w:val="Table Grid"/>
    <w:basedOn w:val="TableNormal"/>
    <w:uiPriority w:val="59"/>
    <w:rsid w:val="00B97272"/>
    <w:pPr>
      <w:spacing w:after="0" w:line="240" w:lineRule="auto"/>
      <w:ind w:right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72"/>
    <w:pPr>
      <w:spacing w:after="0" w:line="240" w:lineRule="auto"/>
      <w:ind w:right="21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972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9727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8994">
      <w:bodyDiv w:val="1"/>
      <w:marLeft w:val="0"/>
      <w:marRight w:val="8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5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9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8OwFaIQ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Qr8vQ8PT9g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stzone.com/" TargetMode="External"/><Relationship Id="rId11" Type="http://schemas.openxmlformats.org/officeDocument/2006/relationships/hyperlink" Target="https://www.laerdal.com/us/doc/104/Multi-Venous-IV-Training-A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umard.com/products/nursing-skill-trainers/iv-training-a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usionknowledge.com/peripheral-iv-catheter-inser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 L Bremer</dc:creator>
  <cp:lastModifiedBy>Merri L Bremer</cp:lastModifiedBy>
  <cp:revision>79</cp:revision>
  <cp:lastPrinted>2018-07-19T16:23:00Z</cp:lastPrinted>
  <dcterms:created xsi:type="dcterms:W3CDTF">2020-04-29T12:34:00Z</dcterms:created>
  <dcterms:modified xsi:type="dcterms:W3CDTF">2020-04-30T16:59:00Z</dcterms:modified>
</cp:coreProperties>
</file>