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2" w:rsidRPr="002F289D" w:rsidRDefault="00A70498" w:rsidP="00B97272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Syllabus Template for </w:t>
      </w:r>
      <w:r w:rsidR="00730146">
        <w:rPr>
          <w:rFonts w:cstheme="minorHAnsi"/>
          <w:b/>
          <w:sz w:val="28"/>
          <w:szCs w:val="28"/>
        </w:rPr>
        <w:t>Ultrasound Enhancing Agent (UEA) Administration</w:t>
      </w:r>
    </w:p>
    <w:p w:rsidR="00B97272" w:rsidRPr="002F289D" w:rsidRDefault="00B97272" w:rsidP="00B97272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Course</w:t>
      </w:r>
      <w:r w:rsidR="008F17BD">
        <w:rPr>
          <w:rFonts w:cstheme="minorHAnsi"/>
          <w:b/>
          <w:sz w:val="24"/>
          <w:szCs w:val="24"/>
        </w:rPr>
        <w:t xml:space="preserve"> Number and Name</w:t>
      </w:r>
      <w:r w:rsidRPr="002F289D">
        <w:rPr>
          <w:rFonts w:cstheme="minorHAnsi"/>
          <w:b/>
          <w:sz w:val="24"/>
          <w:szCs w:val="24"/>
        </w:rPr>
        <w:t xml:space="preserve">:  </w:t>
      </w:r>
      <w:r w:rsidRPr="002F289D">
        <w:rPr>
          <w:rFonts w:cstheme="minorHAnsi"/>
          <w:b/>
          <w:sz w:val="24"/>
          <w:szCs w:val="24"/>
        </w:rPr>
        <w:tab/>
      </w:r>
      <w:r w:rsidR="00B20B15">
        <w:rPr>
          <w:rFonts w:cstheme="minorHAnsi"/>
          <w:b/>
          <w:sz w:val="24"/>
          <w:szCs w:val="24"/>
        </w:rPr>
        <w:t xml:space="preserve"> </w:t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Credits:</w:t>
      </w:r>
      <w:r w:rsidRPr="002F289D">
        <w:rPr>
          <w:rFonts w:cstheme="minorHAnsi"/>
          <w:b/>
          <w:sz w:val="24"/>
          <w:szCs w:val="24"/>
        </w:rPr>
        <w:tab/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Hours:</w:t>
      </w:r>
      <w:r w:rsidRPr="002F289D">
        <w:rPr>
          <w:rFonts w:cstheme="minorHAnsi"/>
          <w:b/>
          <w:sz w:val="24"/>
          <w:szCs w:val="24"/>
        </w:rPr>
        <w:tab/>
      </w:r>
      <w:r w:rsidRPr="002F289D">
        <w:rPr>
          <w:rFonts w:cstheme="minorHAnsi"/>
          <w:b/>
          <w:sz w:val="24"/>
          <w:szCs w:val="24"/>
        </w:rPr>
        <w:tab/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FA08C4" w:rsidRDefault="009E4D48" w:rsidP="0073110C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Instructor</w:t>
      </w:r>
      <w:r w:rsidR="00B97272" w:rsidRPr="002F289D">
        <w:rPr>
          <w:rFonts w:cstheme="minorHAnsi"/>
          <w:b/>
          <w:sz w:val="24"/>
          <w:szCs w:val="24"/>
        </w:rPr>
        <w:t>:</w:t>
      </w:r>
      <w:r w:rsidR="00B97272" w:rsidRPr="002F289D">
        <w:rPr>
          <w:rFonts w:cstheme="minorHAnsi"/>
          <w:b/>
          <w:sz w:val="24"/>
          <w:szCs w:val="24"/>
        </w:rPr>
        <w:tab/>
      </w:r>
    </w:p>
    <w:p w:rsidR="008F17BD" w:rsidRPr="0073110C" w:rsidRDefault="008F17BD" w:rsidP="0073110C">
      <w:pPr>
        <w:contextualSpacing/>
        <w:rPr>
          <w:rFonts w:cstheme="minorHAnsi"/>
          <w:sz w:val="24"/>
          <w:szCs w:val="24"/>
        </w:rPr>
      </w:pPr>
    </w:p>
    <w:p w:rsidR="008936A5" w:rsidRPr="008936A5" w:rsidRDefault="00FA08C4" w:rsidP="0014404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A08C4">
        <w:rPr>
          <w:rFonts w:ascii="Calibri" w:hAnsi="Calibri" w:cs="Calibri"/>
          <w:b/>
          <w:sz w:val="24"/>
          <w:szCs w:val="24"/>
        </w:rPr>
        <w:t>Course Description:</w:t>
      </w:r>
      <w:r>
        <w:rPr>
          <w:rFonts w:ascii="Calibri" w:hAnsi="Calibri" w:cs="Calibri"/>
          <w:sz w:val="24"/>
          <w:szCs w:val="24"/>
        </w:rPr>
        <w:t xml:space="preserve"> </w:t>
      </w:r>
      <w:r w:rsidR="0007537D" w:rsidRPr="008936A5">
        <w:rPr>
          <w:rFonts w:ascii="Calibri" w:hAnsi="Calibri" w:cs="Calibri"/>
          <w:sz w:val="24"/>
          <w:szCs w:val="24"/>
        </w:rPr>
        <w:t xml:space="preserve">This workshop has been designed to help </w:t>
      </w:r>
      <w:r w:rsidR="0007537D">
        <w:rPr>
          <w:rFonts w:ascii="Calibri" w:hAnsi="Calibri" w:cs="Calibri"/>
          <w:sz w:val="24"/>
          <w:szCs w:val="24"/>
        </w:rPr>
        <w:t>sonographers</w:t>
      </w:r>
      <w:r w:rsidR="00F473B8">
        <w:rPr>
          <w:rFonts w:ascii="Calibri" w:hAnsi="Calibri" w:cs="Calibri"/>
          <w:sz w:val="24"/>
          <w:szCs w:val="24"/>
        </w:rPr>
        <w:t xml:space="preserve"> and sonography students</w:t>
      </w:r>
      <w:r w:rsidR="0007537D">
        <w:rPr>
          <w:rFonts w:ascii="Calibri" w:hAnsi="Calibri" w:cs="Calibri"/>
          <w:sz w:val="24"/>
          <w:szCs w:val="24"/>
        </w:rPr>
        <w:t xml:space="preserve"> </w:t>
      </w:r>
      <w:r w:rsidR="0007537D" w:rsidRPr="008936A5">
        <w:rPr>
          <w:rFonts w:ascii="Calibri" w:hAnsi="Calibri" w:cs="Calibri"/>
          <w:sz w:val="24"/>
          <w:szCs w:val="24"/>
        </w:rPr>
        <w:t xml:space="preserve">gain didactic and "hands-on" experience with the theory and skills needed to </w:t>
      </w:r>
      <w:r w:rsidR="00144044">
        <w:rPr>
          <w:rFonts w:ascii="Calibri" w:hAnsi="Calibri" w:cs="Calibri"/>
          <w:sz w:val="24"/>
          <w:szCs w:val="24"/>
        </w:rPr>
        <w:t>administer ultrasound enhancement agents (UEA)</w:t>
      </w:r>
      <w:r w:rsidR="0007537D" w:rsidRPr="008936A5">
        <w:rPr>
          <w:rFonts w:ascii="Calibri" w:hAnsi="Calibri" w:cs="Calibri"/>
          <w:sz w:val="24"/>
          <w:szCs w:val="24"/>
        </w:rPr>
        <w:t>.</w:t>
      </w:r>
      <w:r w:rsidR="0007537D">
        <w:rPr>
          <w:rFonts w:ascii="Calibri" w:hAnsi="Calibri" w:cs="Calibri"/>
          <w:sz w:val="24"/>
          <w:szCs w:val="24"/>
        </w:rPr>
        <w:t xml:space="preserve"> </w:t>
      </w:r>
      <w:r w:rsidR="00A70498" w:rsidRPr="00A70498">
        <w:rPr>
          <w:rFonts w:ascii="Calibri" w:hAnsi="Calibri" w:cs="Calibri"/>
          <w:sz w:val="24"/>
          <w:szCs w:val="24"/>
        </w:rPr>
        <w:t xml:space="preserve"> </w:t>
      </w:r>
      <w:r w:rsidR="008936A5" w:rsidRPr="008936A5">
        <w:rPr>
          <w:rFonts w:ascii="Calibri" w:hAnsi="Calibri" w:cs="Calibri"/>
          <w:sz w:val="24"/>
          <w:szCs w:val="24"/>
        </w:rPr>
        <w:t xml:space="preserve">Content includes </w:t>
      </w:r>
      <w:r w:rsidR="007173FE">
        <w:rPr>
          <w:rFonts w:ascii="Calibri" w:hAnsi="Calibri" w:cs="Calibri"/>
          <w:sz w:val="24"/>
          <w:szCs w:val="24"/>
        </w:rPr>
        <w:t xml:space="preserve">a review of </w:t>
      </w:r>
      <w:r w:rsidR="00144044" w:rsidRPr="00144044">
        <w:rPr>
          <w:rFonts w:ascii="Calibri" w:hAnsi="Calibri" w:cs="Calibri"/>
          <w:sz w:val="24"/>
          <w:szCs w:val="24"/>
        </w:rPr>
        <w:t>microbubble physics and ultrasou</w:t>
      </w:r>
      <w:r w:rsidR="00144044">
        <w:rPr>
          <w:rFonts w:ascii="Calibri" w:hAnsi="Calibri" w:cs="Calibri"/>
          <w:sz w:val="24"/>
          <w:szCs w:val="24"/>
        </w:rPr>
        <w:t xml:space="preserve">nd instrumentation, recognition </w:t>
      </w:r>
      <w:r w:rsidR="00144044" w:rsidRPr="00144044">
        <w:rPr>
          <w:rFonts w:ascii="Calibri" w:hAnsi="Calibri" w:cs="Calibri"/>
          <w:sz w:val="24"/>
          <w:szCs w:val="24"/>
        </w:rPr>
        <w:t xml:space="preserve">of indications for the use of </w:t>
      </w:r>
      <w:r w:rsidR="00144044">
        <w:rPr>
          <w:rFonts w:ascii="Calibri" w:hAnsi="Calibri" w:cs="Calibri"/>
          <w:sz w:val="24"/>
          <w:szCs w:val="24"/>
        </w:rPr>
        <w:t xml:space="preserve">UEAs, </w:t>
      </w:r>
      <w:r w:rsidR="00144044" w:rsidRPr="00144044">
        <w:rPr>
          <w:rFonts w:ascii="Calibri" w:hAnsi="Calibri" w:cs="Calibri"/>
          <w:sz w:val="24"/>
          <w:szCs w:val="24"/>
        </w:rPr>
        <w:t>and developme</w:t>
      </w:r>
      <w:r w:rsidR="00144044">
        <w:rPr>
          <w:rFonts w:ascii="Calibri" w:hAnsi="Calibri" w:cs="Calibri"/>
          <w:sz w:val="24"/>
          <w:szCs w:val="24"/>
        </w:rPr>
        <w:t xml:space="preserve">nt of written </w:t>
      </w:r>
      <w:r w:rsidR="00144044" w:rsidRPr="00144044">
        <w:rPr>
          <w:rFonts w:ascii="Calibri" w:hAnsi="Calibri" w:cs="Calibri"/>
          <w:sz w:val="24"/>
          <w:szCs w:val="24"/>
        </w:rPr>
        <w:t>policies for contrast agent infusion or injection.</w:t>
      </w:r>
      <w:r w:rsidR="003234EF">
        <w:rPr>
          <w:rFonts w:ascii="Calibri" w:hAnsi="Calibri" w:cs="Calibri"/>
          <w:sz w:val="24"/>
          <w:szCs w:val="24"/>
        </w:rPr>
        <w:t xml:space="preserve"> </w:t>
      </w:r>
      <w:r w:rsidR="008936A5" w:rsidRPr="008936A5">
        <w:rPr>
          <w:rFonts w:ascii="Calibri" w:hAnsi="Calibri" w:cs="Calibri"/>
          <w:sz w:val="24"/>
          <w:szCs w:val="24"/>
        </w:rPr>
        <w:t xml:space="preserve">Information on legal aspects, malpractice insurance, and proper documentation will be included. Supplies will be provided for practicing </w:t>
      </w:r>
      <w:r w:rsidR="008B1684">
        <w:rPr>
          <w:rFonts w:ascii="Calibri" w:hAnsi="Calibri" w:cs="Calibri"/>
          <w:sz w:val="24"/>
          <w:szCs w:val="24"/>
        </w:rPr>
        <w:t>administration of UEAs and i</w:t>
      </w:r>
      <w:r w:rsidR="008936A5" w:rsidRPr="008936A5">
        <w:rPr>
          <w:rFonts w:ascii="Calibri" w:hAnsi="Calibri" w:cs="Calibri"/>
          <w:sz w:val="24"/>
          <w:szCs w:val="24"/>
        </w:rPr>
        <w:t>ndividual competency validation will be provided by the instructor at the end of the program</w:t>
      </w:r>
      <w:r w:rsidR="0007537D">
        <w:rPr>
          <w:rFonts w:ascii="Calibri" w:hAnsi="Calibri" w:cs="Calibri"/>
          <w:sz w:val="24"/>
          <w:szCs w:val="24"/>
        </w:rPr>
        <w:t>.</w:t>
      </w:r>
      <w:r w:rsidR="00BA43D7" w:rsidRPr="00BA43D7">
        <w:t xml:space="preserve"> </w:t>
      </w:r>
      <w:r w:rsidR="00BA43D7">
        <w:t xml:space="preserve"> </w:t>
      </w:r>
      <w:r w:rsidR="003D3829">
        <w:rPr>
          <w:rFonts w:ascii="Calibri" w:hAnsi="Calibri" w:cs="Calibri"/>
          <w:sz w:val="24"/>
          <w:szCs w:val="24"/>
        </w:rPr>
        <w:t>However, a</w:t>
      </w:r>
      <w:r w:rsidR="00BA43D7">
        <w:rPr>
          <w:rFonts w:ascii="Calibri" w:hAnsi="Calibri" w:cs="Calibri"/>
          <w:sz w:val="24"/>
          <w:szCs w:val="24"/>
        </w:rPr>
        <w:t xml:space="preserve"> s</w:t>
      </w:r>
      <w:r w:rsidR="00BA43D7" w:rsidRPr="00BA43D7">
        <w:rPr>
          <w:rFonts w:ascii="Calibri" w:hAnsi="Calibri" w:cs="Calibri"/>
          <w:sz w:val="24"/>
          <w:szCs w:val="24"/>
        </w:rPr>
        <w:t>upplemental period of structured on-the-job training and competency evaluation for each individual is required in order to successfully apply this knowledge in a clinical setting</w:t>
      </w:r>
      <w:r w:rsidR="00DE3EB0">
        <w:rPr>
          <w:rFonts w:ascii="Calibri" w:hAnsi="Calibri" w:cs="Calibri"/>
          <w:sz w:val="24"/>
          <w:szCs w:val="24"/>
        </w:rPr>
        <w:t>.</w:t>
      </w:r>
    </w:p>
    <w:p w:rsidR="00D753AE" w:rsidRDefault="00A70498" w:rsidP="003A02C9">
      <w:pPr>
        <w:tabs>
          <w:tab w:val="left" w:pos="288"/>
          <w:tab w:val="right" w:pos="3168"/>
          <w:tab w:val="left" w:pos="3456"/>
          <w:tab w:val="left" w:pos="9792"/>
        </w:tabs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Learning </w:t>
      </w:r>
      <w:r w:rsidR="00D753AE">
        <w:rPr>
          <w:rFonts w:cstheme="minorHAnsi"/>
          <w:b/>
          <w:sz w:val="24"/>
          <w:szCs w:val="24"/>
        </w:rPr>
        <w:t>Objectives:</w:t>
      </w:r>
    </w:p>
    <w:p w:rsidR="008F386B" w:rsidRDefault="008F386B" w:rsidP="00263CE1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basic information regarding contrast-enhanced ultrasound</w:t>
      </w:r>
    </w:p>
    <w:p w:rsidR="00263CE1" w:rsidRPr="00263CE1" w:rsidRDefault="00263CE1" w:rsidP="00263CE1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263CE1">
        <w:rPr>
          <w:rFonts w:cstheme="minorHAnsi"/>
          <w:sz w:val="24"/>
          <w:szCs w:val="24"/>
        </w:rPr>
        <w:t xml:space="preserve">Identify legal and policy considerations in regard to </w:t>
      </w:r>
      <w:r w:rsidR="003B7F78">
        <w:rPr>
          <w:rFonts w:cstheme="minorHAnsi"/>
          <w:sz w:val="24"/>
          <w:szCs w:val="24"/>
        </w:rPr>
        <w:t>UEA administration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 xml:space="preserve">efine the proper technique and procedure for </w:t>
      </w:r>
      <w:r w:rsidR="003B7F78">
        <w:rPr>
          <w:rFonts w:cstheme="minorHAnsi"/>
          <w:sz w:val="24"/>
          <w:szCs w:val="24"/>
        </w:rPr>
        <w:t>UEA administration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>emonstrate t</w:t>
      </w:r>
      <w:r w:rsidR="00E8457D">
        <w:rPr>
          <w:rFonts w:cstheme="minorHAnsi"/>
          <w:sz w:val="24"/>
          <w:szCs w:val="24"/>
        </w:rPr>
        <w:t xml:space="preserve">he ability to properly </w:t>
      </w:r>
      <w:r w:rsidR="003B7F78">
        <w:rPr>
          <w:rFonts w:cstheme="minorHAnsi"/>
          <w:sz w:val="24"/>
          <w:szCs w:val="24"/>
        </w:rPr>
        <w:t>administer various UEAs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70498" w:rsidRPr="00A70498">
        <w:rPr>
          <w:rFonts w:cstheme="minorHAnsi"/>
          <w:sz w:val="24"/>
          <w:szCs w:val="24"/>
        </w:rPr>
        <w:t xml:space="preserve">ecognize complications that can occur with </w:t>
      </w:r>
      <w:r w:rsidR="003B7F78">
        <w:rPr>
          <w:rFonts w:cstheme="minorHAnsi"/>
          <w:sz w:val="24"/>
          <w:szCs w:val="24"/>
        </w:rPr>
        <w:t>UEA administration</w:t>
      </w:r>
    </w:p>
    <w:p w:rsidR="00FA08C4" w:rsidRPr="003F33AE" w:rsidRDefault="00B16541" w:rsidP="003F33A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 xml:space="preserve">emonstrate </w:t>
      </w:r>
      <w:r w:rsidR="00E8457D">
        <w:rPr>
          <w:rFonts w:cstheme="minorHAnsi"/>
          <w:sz w:val="24"/>
          <w:szCs w:val="24"/>
        </w:rPr>
        <w:t>appropriate</w:t>
      </w:r>
      <w:r w:rsidR="00A70498" w:rsidRPr="00A70498">
        <w:rPr>
          <w:rFonts w:cstheme="minorHAnsi"/>
          <w:sz w:val="24"/>
          <w:szCs w:val="24"/>
        </w:rPr>
        <w:t xml:space="preserve"> documentation of </w:t>
      </w:r>
      <w:r w:rsidR="003B7F78">
        <w:rPr>
          <w:rFonts w:cstheme="minorHAnsi"/>
          <w:sz w:val="24"/>
          <w:szCs w:val="24"/>
        </w:rPr>
        <w:t>UEA administration</w:t>
      </w:r>
    </w:p>
    <w:p w:rsidR="00FA08C4" w:rsidRPr="00D753AE" w:rsidRDefault="00FA08C4" w:rsidP="00FA08C4">
      <w:pPr>
        <w:pStyle w:val="ListParagraph"/>
        <w:spacing w:after="0"/>
        <w:rPr>
          <w:sz w:val="24"/>
          <w:szCs w:val="24"/>
        </w:rPr>
      </w:pPr>
    </w:p>
    <w:p w:rsidR="007F7F4D" w:rsidRPr="002F289D" w:rsidRDefault="007F7F4D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 xml:space="preserve">Instructional methods:  </w:t>
      </w:r>
      <w:r w:rsidR="003F33AE">
        <w:rPr>
          <w:rFonts w:cstheme="minorHAnsi"/>
          <w:sz w:val="24"/>
          <w:szCs w:val="24"/>
        </w:rPr>
        <w:t>Lectures, labs, simulated</w:t>
      </w:r>
      <w:r w:rsidR="00730146">
        <w:rPr>
          <w:rFonts w:cstheme="minorHAnsi"/>
          <w:sz w:val="24"/>
          <w:szCs w:val="24"/>
        </w:rPr>
        <w:t xml:space="preserve"> UEA administration</w:t>
      </w:r>
    </w:p>
    <w:p w:rsidR="00095D91" w:rsidRDefault="00095D91" w:rsidP="00B97272">
      <w:pPr>
        <w:contextualSpacing/>
        <w:rPr>
          <w:rFonts w:cstheme="minorHAnsi"/>
          <w:b/>
          <w:sz w:val="24"/>
          <w:szCs w:val="24"/>
        </w:rPr>
      </w:pPr>
    </w:p>
    <w:p w:rsidR="007931AE" w:rsidRDefault="007226BF" w:rsidP="00B97272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Suggested </w:t>
      </w:r>
      <w:r w:rsidR="00B97272" w:rsidRPr="002F289D">
        <w:rPr>
          <w:rFonts w:cstheme="minorHAnsi"/>
          <w:b/>
          <w:sz w:val="24"/>
          <w:szCs w:val="24"/>
        </w:rPr>
        <w:t>Reference Materials:</w:t>
      </w:r>
      <w:r w:rsidR="0013654F">
        <w:rPr>
          <w:rFonts w:cstheme="minorHAnsi"/>
          <w:b/>
          <w:sz w:val="24"/>
          <w:szCs w:val="24"/>
        </w:rPr>
        <w:t xml:space="preserve">  </w:t>
      </w:r>
    </w:p>
    <w:p w:rsidR="007226BF" w:rsidRPr="00095D91" w:rsidRDefault="00CD0864" w:rsidP="001E004C">
      <w:pPr>
        <w:spacing w:after="0"/>
        <w:rPr>
          <w:rFonts w:cstheme="minorHAnsi"/>
          <w:sz w:val="24"/>
          <w:szCs w:val="24"/>
        </w:rPr>
      </w:pPr>
      <w:hyperlink r:id="rId6" w:history="1">
        <w:r w:rsidR="007226BF" w:rsidRPr="00095D91">
          <w:rPr>
            <w:rStyle w:val="Hyperlink"/>
            <w:rFonts w:cstheme="minorHAnsi"/>
            <w:sz w:val="24"/>
            <w:szCs w:val="24"/>
          </w:rPr>
          <w:t>American Society of Echocardiography Contrast Zone</w:t>
        </w:r>
      </w:hyperlink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Basics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Guideline Documents </w:t>
      </w:r>
    </w:p>
    <w:p w:rsidR="00095D91" w:rsidRPr="007226BF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Mulvagh, et al. </w:t>
      </w:r>
      <w:r w:rsidRPr="007226BF">
        <w:rPr>
          <w:rFonts w:cstheme="minorHAnsi"/>
          <w:sz w:val="24"/>
          <w:szCs w:val="24"/>
        </w:rPr>
        <w:t>American Society of Echocardiography Consensus</w:t>
      </w:r>
      <w:r>
        <w:rPr>
          <w:rFonts w:cstheme="minorHAnsi"/>
          <w:sz w:val="24"/>
          <w:szCs w:val="24"/>
        </w:rPr>
        <w:t xml:space="preserve"> </w:t>
      </w:r>
      <w:r w:rsidRPr="007226BF">
        <w:rPr>
          <w:rFonts w:cstheme="minorHAnsi"/>
          <w:sz w:val="24"/>
          <w:szCs w:val="24"/>
        </w:rPr>
        <w:t>Statement on the Clinical Applications of Ultrasonic</w:t>
      </w:r>
      <w:r>
        <w:rPr>
          <w:rFonts w:cstheme="minorHAnsi"/>
          <w:sz w:val="24"/>
          <w:szCs w:val="24"/>
        </w:rPr>
        <w:t xml:space="preserve"> </w:t>
      </w:r>
      <w:r w:rsidRPr="007226BF">
        <w:rPr>
          <w:rFonts w:cstheme="minorHAnsi"/>
          <w:sz w:val="24"/>
          <w:szCs w:val="24"/>
        </w:rPr>
        <w:t>Contrast Agents in Echocardiography</w:t>
      </w:r>
      <w:r>
        <w:rPr>
          <w:rFonts w:cstheme="minorHAnsi"/>
          <w:sz w:val="24"/>
          <w:szCs w:val="24"/>
        </w:rPr>
        <w:t>.</w:t>
      </w:r>
      <w:r w:rsidRPr="007226BF">
        <w:rPr>
          <w:rFonts w:cstheme="minorHAnsi"/>
          <w:sz w:val="24"/>
          <w:szCs w:val="24"/>
        </w:rPr>
        <w:t xml:space="preserve"> J Am </w:t>
      </w:r>
      <w:proofErr w:type="spellStart"/>
      <w:r w:rsidRPr="007226BF"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</w:rPr>
        <w:t>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Echocardiogr</w:t>
      </w:r>
      <w:proofErr w:type="spellEnd"/>
      <w:r>
        <w:rPr>
          <w:rFonts w:cstheme="minorHAnsi"/>
          <w:sz w:val="24"/>
          <w:szCs w:val="24"/>
        </w:rPr>
        <w:t xml:space="preserve"> 2008</w:t>
      </w:r>
      <w:proofErr w:type="gramStart"/>
      <w:r>
        <w:rPr>
          <w:rFonts w:cstheme="minorHAnsi"/>
          <w:sz w:val="24"/>
          <w:szCs w:val="24"/>
        </w:rPr>
        <w:t>;21</w:t>
      </w:r>
      <w:r w:rsidRPr="007226B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1179</w:t>
      </w:r>
      <w:proofErr w:type="gramEnd"/>
      <w:r>
        <w:rPr>
          <w:rFonts w:cstheme="minorHAnsi"/>
          <w:sz w:val="24"/>
          <w:szCs w:val="24"/>
        </w:rPr>
        <w:t>-1201</w:t>
      </w:r>
      <w:r w:rsidRPr="007226BF">
        <w:rPr>
          <w:rFonts w:cstheme="minorHAnsi"/>
          <w:sz w:val="24"/>
          <w:szCs w:val="24"/>
        </w:rPr>
        <w:t>.</w:t>
      </w:r>
    </w:p>
    <w:p w:rsidR="00095D91" w:rsidRPr="007226BF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7226BF">
        <w:rPr>
          <w:rFonts w:cstheme="minorHAnsi"/>
          <w:sz w:val="24"/>
          <w:szCs w:val="24"/>
        </w:rPr>
        <w:lastRenderedPageBreak/>
        <w:t xml:space="preserve">Porter, et al. Guidelines for the Cardiac Sonographer in the Performance of Contrast Echocardiography: A Focused Update from the American Society of Echocardiography. J Am </w:t>
      </w:r>
      <w:proofErr w:type="spellStart"/>
      <w:r w:rsidRPr="007226BF">
        <w:rPr>
          <w:rFonts w:cstheme="minorHAnsi"/>
          <w:sz w:val="24"/>
          <w:szCs w:val="24"/>
        </w:rPr>
        <w:t>Soc</w:t>
      </w:r>
      <w:proofErr w:type="spellEnd"/>
      <w:r w:rsidRPr="007226BF">
        <w:rPr>
          <w:rFonts w:cstheme="minorHAnsi"/>
          <w:sz w:val="24"/>
          <w:szCs w:val="24"/>
        </w:rPr>
        <w:t xml:space="preserve"> </w:t>
      </w:r>
      <w:proofErr w:type="spellStart"/>
      <w:r w:rsidRPr="007226BF">
        <w:rPr>
          <w:rFonts w:cstheme="minorHAnsi"/>
          <w:sz w:val="24"/>
          <w:szCs w:val="24"/>
        </w:rPr>
        <w:t>Echocardiogr</w:t>
      </w:r>
      <w:proofErr w:type="spellEnd"/>
      <w:r w:rsidRPr="007226BF">
        <w:rPr>
          <w:rFonts w:cstheme="minorHAnsi"/>
          <w:sz w:val="24"/>
          <w:szCs w:val="24"/>
        </w:rPr>
        <w:t xml:space="preserve"> 2014</w:t>
      </w:r>
      <w:proofErr w:type="gramStart"/>
      <w:r w:rsidRPr="007226BF">
        <w:rPr>
          <w:rFonts w:cstheme="minorHAnsi"/>
          <w:sz w:val="24"/>
          <w:szCs w:val="24"/>
        </w:rPr>
        <w:t>;27:797</w:t>
      </w:r>
      <w:proofErr w:type="gramEnd"/>
      <w:r w:rsidRPr="007226BF">
        <w:rPr>
          <w:rFonts w:cstheme="minorHAnsi"/>
          <w:sz w:val="24"/>
          <w:szCs w:val="24"/>
        </w:rPr>
        <w:t>-810.</w:t>
      </w:r>
    </w:p>
    <w:p w:rsidR="00095D91" w:rsidRP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7226BF">
        <w:rPr>
          <w:rFonts w:cstheme="minorHAnsi"/>
          <w:sz w:val="24"/>
          <w:szCs w:val="24"/>
        </w:rPr>
        <w:t xml:space="preserve">Porter et al. Clinical Applications of Ultrasonic Enhancing Agents in Echocardiography: 2018 American Society of Echocardiography Guidelines Update. J Am </w:t>
      </w:r>
      <w:proofErr w:type="spellStart"/>
      <w:r w:rsidRPr="007226BF">
        <w:rPr>
          <w:rFonts w:cstheme="minorHAnsi"/>
          <w:sz w:val="24"/>
          <w:szCs w:val="24"/>
        </w:rPr>
        <w:t>Soc</w:t>
      </w:r>
      <w:proofErr w:type="spellEnd"/>
      <w:r w:rsidRPr="007226BF">
        <w:rPr>
          <w:rFonts w:cstheme="minorHAnsi"/>
          <w:sz w:val="24"/>
          <w:szCs w:val="24"/>
        </w:rPr>
        <w:t xml:space="preserve"> </w:t>
      </w:r>
      <w:proofErr w:type="spellStart"/>
      <w:r w:rsidRPr="007226BF">
        <w:rPr>
          <w:rFonts w:cstheme="minorHAnsi"/>
          <w:sz w:val="24"/>
          <w:szCs w:val="24"/>
        </w:rPr>
        <w:t>Echocardiogr</w:t>
      </w:r>
      <w:proofErr w:type="spellEnd"/>
      <w:r w:rsidRPr="007226BF">
        <w:rPr>
          <w:rFonts w:cstheme="minorHAnsi"/>
          <w:sz w:val="24"/>
          <w:szCs w:val="24"/>
        </w:rPr>
        <w:t xml:space="preserve"> 2018</w:t>
      </w:r>
      <w:proofErr w:type="gramStart"/>
      <w:r w:rsidRPr="007226BF">
        <w:rPr>
          <w:rFonts w:cstheme="minorHAnsi"/>
          <w:sz w:val="24"/>
          <w:szCs w:val="24"/>
        </w:rPr>
        <w:t>;31:241</w:t>
      </w:r>
      <w:proofErr w:type="gramEnd"/>
      <w:r w:rsidRPr="007226BF">
        <w:rPr>
          <w:rFonts w:cstheme="minorHAnsi"/>
          <w:sz w:val="24"/>
          <w:szCs w:val="24"/>
        </w:rPr>
        <w:t>-274.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Videos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How to Administer Contrast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Ultrasound Enhancing Agent Safety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How to Perform a Myocardial Perfusion Study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Webinars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Guidelines for the Cardiac Sonographer in the Performance of Contrast Echocardiography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Clinical Applications of Ultrasonic Enhancing Agents in Echocardiography: 2018 ASE Update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ICUS Sonography Programs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IAC &amp; ICUS Present: Introduction to Contrast Enhanced Ultrasound for Echocardiography</w:t>
      </w:r>
    </w:p>
    <w:p w:rsidR="00095D91" w:rsidRDefault="00095D91" w:rsidP="00095D91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IAC &amp; ICUS Present: Safety and Efficacy of Ultrasound Enhancing Agents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Poster and DVDs</w:t>
      </w:r>
    </w:p>
    <w:p w:rsidR="00095D91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Coding for Contrast</w:t>
      </w:r>
    </w:p>
    <w:p w:rsidR="00CF07BD" w:rsidRDefault="00095D91" w:rsidP="00095D9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95D91">
        <w:rPr>
          <w:rFonts w:cstheme="minorHAnsi"/>
          <w:sz w:val="24"/>
          <w:szCs w:val="24"/>
        </w:rPr>
        <w:t>Helpful Information from Industry</w:t>
      </w:r>
      <w:r w:rsidR="009A7DF5">
        <w:rPr>
          <w:rFonts w:cstheme="minorHAnsi"/>
          <w:sz w:val="24"/>
          <w:szCs w:val="24"/>
        </w:rPr>
        <w:t xml:space="preserve"> – includes videos, case studies, and agent-specific information</w:t>
      </w:r>
    </w:p>
    <w:p w:rsidR="002D7D8C" w:rsidRPr="003E23C5" w:rsidRDefault="00095D91" w:rsidP="00DF41DF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Frequently Asked Questions</w:t>
      </w:r>
    </w:p>
    <w:p w:rsidR="007B7719" w:rsidRPr="00DF41DF" w:rsidRDefault="00490C21" w:rsidP="00DF41D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2F289D">
        <w:rPr>
          <w:b/>
          <w:sz w:val="28"/>
          <w:szCs w:val="28"/>
        </w:rPr>
        <w:t>ourse Syllabus</w:t>
      </w:r>
      <w:r w:rsidR="00DF41DF">
        <w:rPr>
          <w:b/>
          <w:sz w:val="28"/>
          <w:szCs w:val="28"/>
        </w:rPr>
        <w:t xml:space="preserve"> (Suggested Learning Modules)</w:t>
      </w:r>
    </w:p>
    <w:p w:rsidR="00F7019A" w:rsidRDefault="00F7019A" w:rsidP="004B19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Contrast </w:t>
      </w:r>
      <w:r w:rsidR="00EC3DF0">
        <w:rPr>
          <w:sz w:val="24"/>
          <w:szCs w:val="24"/>
        </w:rPr>
        <w:t xml:space="preserve">Imaging </w:t>
      </w:r>
      <w:r>
        <w:rPr>
          <w:sz w:val="24"/>
          <w:szCs w:val="24"/>
        </w:rPr>
        <w:t>Basics</w:t>
      </w:r>
    </w:p>
    <w:p w:rsidR="005D7B83" w:rsidRPr="004B19E7" w:rsidRDefault="005D7B83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How it works</w:t>
      </w:r>
    </w:p>
    <w:p w:rsidR="005D7B83" w:rsidRPr="004B19E7" w:rsidRDefault="005D7B83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FDA-approved UEAs</w:t>
      </w:r>
    </w:p>
    <w:p w:rsidR="005D7B83" w:rsidRPr="004B19E7" w:rsidRDefault="005D7B83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Clinical applications</w:t>
      </w:r>
    </w:p>
    <w:p w:rsidR="005D7B83" w:rsidRPr="004B19E7" w:rsidRDefault="005D7B83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Advantages</w:t>
      </w:r>
    </w:p>
    <w:p w:rsidR="00160279" w:rsidRPr="004B19E7" w:rsidRDefault="005D7B83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Disadvantages</w:t>
      </w:r>
    </w:p>
    <w:p w:rsidR="005D7B83" w:rsidRPr="004B19E7" w:rsidRDefault="00160279" w:rsidP="004B19E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A</w:t>
      </w:r>
      <w:r w:rsidR="004C5E6B" w:rsidRPr="004B19E7">
        <w:rPr>
          <w:sz w:val="24"/>
          <w:szCs w:val="24"/>
        </w:rPr>
        <w:t>dverse reactions</w:t>
      </w:r>
    </w:p>
    <w:p w:rsidR="007B7719" w:rsidRDefault="007B7719" w:rsidP="004B19E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53BF7">
        <w:rPr>
          <w:sz w:val="24"/>
          <w:szCs w:val="24"/>
        </w:rPr>
        <w:t>Legal/policy considerations</w:t>
      </w:r>
    </w:p>
    <w:p w:rsidR="00F749C5" w:rsidRPr="002249A6" w:rsidRDefault="00C53BF7" w:rsidP="002249A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Individual facility/state </w:t>
      </w:r>
      <w:r w:rsidR="008D107A">
        <w:rPr>
          <w:sz w:val="24"/>
          <w:szCs w:val="24"/>
        </w:rPr>
        <w:t>policies</w:t>
      </w:r>
      <w:r w:rsidR="002249A6">
        <w:rPr>
          <w:sz w:val="24"/>
          <w:szCs w:val="24"/>
        </w:rPr>
        <w:t xml:space="preserve"> - r</w:t>
      </w:r>
      <w:r w:rsidR="00F749C5" w:rsidRPr="002249A6">
        <w:rPr>
          <w:sz w:val="24"/>
          <w:szCs w:val="24"/>
        </w:rPr>
        <w:t>equires hospital approval</w:t>
      </w:r>
    </w:p>
    <w:p w:rsidR="00336D8C" w:rsidRPr="004B19E7" w:rsidRDefault="00834C5E" w:rsidP="004B19E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Individual facility </w:t>
      </w:r>
      <w:r w:rsidR="00336D8C" w:rsidRPr="004B19E7">
        <w:rPr>
          <w:sz w:val="24"/>
          <w:szCs w:val="24"/>
        </w:rPr>
        <w:t>practice</w:t>
      </w:r>
    </w:p>
    <w:p w:rsidR="00834C5E" w:rsidRPr="004B19E7" w:rsidRDefault="00336D8C" w:rsidP="004B19E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</w:t>
      </w:r>
      <w:r w:rsidR="00834C5E" w:rsidRPr="004B19E7">
        <w:rPr>
          <w:sz w:val="24"/>
          <w:szCs w:val="24"/>
        </w:rPr>
        <w:t>rocedures</w:t>
      </w:r>
      <w:r w:rsidR="003C6F4B" w:rsidRPr="004B19E7">
        <w:rPr>
          <w:sz w:val="24"/>
          <w:szCs w:val="24"/>
        </w:rPr>
        <w:t>/protocols/standing orders</w:t>
      </w:r>
    </w:p>
    <w:p w:rsidR="00C1051C" w:rsidRPr="004B19E7" w:rsidRDefault="00C1051C" w:rsidP="004B19E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Indications</w:t>
      </w:r>
    </w:p>
    <w:p w:rsidR="00C1051C" w:rsidRPr="004B19E7" w:rsidRDefault="00C1051C" w:rsidP="004B19E7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Contraindications</w:t>
      </w:r>
    </w:p>
    <w:p w:rsidR="007B7719" w:rsidRPr="004B19E7" w:rsidRDefault="007B7719" w:rsidP="008F1E7F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Patient education/consent</w:t>
      </w:r>
      <w:r w:rsidR="003E12CA">
        <w:rPr>
          <w:sz w:val="24"/>
          <w:szCs w:val="24"/>
        </w:rPr>
        <w:t xml:space="preserve"> </w:t>
      </w:r>
    </w:p>
    <w:p w:rsidR="00C53BF7" w:rsidRDefault="00C53BF7" w:rsidP="004B19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Administration</w:t>
      </w:r>
      <w:r w:rsidR="00C157FE">
        <w:rPr>
          <w:sz w:val="24"/>
          <w:szCs w:val="24"/>
        </w:rPr>
        <w:t xml:space="preserve"> according to facility procedures</w:t>
      </w:r>
    </w:p>
    <w:p w:rsidR="007B7719" w:rsidRPr="004B19E7" w:rsidRDefault="00C53BF7" w:rsidP="004B1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PIV insertion</w:t>
      </w:r>
      <w:r w:rsidR="00F7019A" w:rsidRPr="004B19E7">
        <w:rPr>
          <w:sz w:val="24"/>
          <w:szCs w:val="24"/>
        </w:rPr>
        <w:t>/removal</w:t>
      </w:r>
      <w:r w:rsidRPr="004B19E7">
        <w:rPr>
          <w:sz w:val="24"/>
          <w:szCs w:val="24"/>
        </w:rPr>
        <w:t xml:space="preserve"> by sonographer</w:t>
      </w:r>
    </w:p>
    <w:p w:rsidR="00C53BF7" w:rsidRPr="004B19E7" w:rsidRDefault="00C53BF7" w:rsidP="004B1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Utilization of existing PIV sites</w:t>
      </w:r>
    </w:p>
    <w:p w:rsidR="00C53BF7" w:rsidRPr="004B19E7" w:rsidRDefault="00C53BF7" w:rsidP="004B1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Avoiding usage of PICC or central lines</w:t>
      </w:r>
    </w:p>
    <w:p w:rsidR="00C53BF7" w:rsidRPr="004B19E7" w:rsidRDefault="00C53BF7" w:rsidP="004B1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Coordi</w:t>
      </w:r>
      <w:bookmarkStart w:id="0" w:name="_GoBack"/>
      <w:bookmarkEnd w:id="0"/>
      <w:r w:rsidRPr="004B19E7">
        <w:rPr>
          <w:sz w:val="24"/>
          <w:szCs w:val="24"/>
        </w:rPr>
        <w:t>nation with RN for medication infusions</w:t>
      </w:r>
    </w:p>
    <w:p w:rsidR="002232CD" w:rsidRPr="002232CD" w:rsidRDefault="002232CD" w:rsidP="002232C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232CD">
        <w:rPr>
          <w:sz w:val="24"/>
          <w:szCs w:val="24"/>
        </w:rPr>
        <w:t>General Documentation Guidelines</w:t>
      </w:r>
    </w:p>
    <w:p w:rsidR="004C5E6B" w:rsidRPr="004B19E7" w:rsidRDefault="004C5E6B" w:rsidP="004B19E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Patient education/consent</w:t>
      </w:r>
    </w:p>
    <w:p w:rsidR="00F7019A" w:rsidRPr="004B19E7" w:rsidRDefault="00F7019A" w:rsidP="004B19E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PIV </w:t>
      </w:r>
      <w:r w:rsidR="004C5E6B" w:rsidRPr="004B19E7">
        <w:rPr>
          <w:sz w:val="24"/>
          <w:szCs w:val="24"/>
        </w:rPr>
        <w:t>insertion/removal</w:t>
      </w:r>
      <w:r w:rsidR="009A7DF5">
        <w:rPr>
          <w:sz w:val="24"/>
          <w:szCs w:val="24"/>
        </w:rPr>
        <w:t xml:space="preserve"> if applicable</w:t>
      </w:r>
    </w:p>
    <w:p w:rsidR="00F7019A" w:rsidRPr="002232CD" w:rsidRDefault="00F7019A" w:rsidP="002232C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UEA dose </w:t>
      </w:r>
      <w:r w:rsidR="002232CD">
        <w:rPr>
          <w:sz w:val="24"/>
          <w:szCs w:val="24"/>
        </w:rPr>
        <w:t xml:space="preserve">or saline volume </w:t>
      </w:r>
      <w:r w:rsidRPr="004B19E7">
        <w:rPr>
          <w:sz w:val="24"/>
          <w:szCs w:val="24"/>
        </w:rPr>
        <w:t>and date/time</w:t>
      </w:r>
      <w:r w:rsidR="009D02E6" w:rsidRPr="004B19E7">
        <w:rPr>
          <w:sz w:val="24"/>
          <w:szCs w:val="24"/>
        </w:rPr>
        <w:t xml:space="preserve"> of administration</w:t>
      </w:r>
      <w:r w:rsidR="002232CD" w:rsidRPr="002232CD">
        <w:rPr>
          <w:sz w:val="24"/>
          <w:szCs w:val="24"/>
        </w:rPr>
        <w:t xml:space="preserve"> </w:t>
      </w:r>
    </w:p>
    <w:p w:rsidR="003B1D96" w:rsidRDefault="003B1D96" w:rsidP="004B19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Practice Lab </w:t>
      </w:r>
    </w:p>
    <w:p w:rsidR="009D62AD" w:rsidRPr="004B19E7" w:rsidRDefault="00136046" w:rsidP="004B19E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Preparation and administration of available UEAs </w:t>
      </w:r>
    </w:p>
    <w:p w:rsidR="009E47BC" w:rsidRDefault="00A87643" w:rsidP="004B19E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Based on</w:t>
      </w:r>
      <w:r w:rsidR="009D62AD" w:rsidRPr="004B19E7">
        <w:rPr>
          <w:sz w:val="24"/>
          <w:szCs w:val="24"/>
        </w:rPr>
        <w:t xml:space="preserve"> </w:t>
      </w:r>
      <w:r w:rsidR="00566BC3" w:rsidRPr="004B19E7">
        <w:rPr>
          <w:sz w:val="24"/>
          <w:szCs w:val="24"/>
        </w:rPr>
        <w:t>ASE/</w:t>
      </w:r>
      <w:r w:rsidR="009D62AD" w:rsidRPr="004B19E7">
        <w:rPr>
          <w:sz w:val="24"/>
          <w:szCs w:val="24"/>
        </w:rPr>
        <w:t>industry guidelines and/or individual facility protocols</w:t>
      </w:r>
    </w:p>
    <w:p w:rsidR="0082386B" w:rsidRPr="009A7DF5" w:rsidRDefault="00B71E76" w:rsidP="009A7DF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Protocol e</w:t>
      </w:r>
      <w:r w:rsidR="0082386B">
        <w:rPr>
          <w:sz w:val="24"/>
          <w:szCs w:val="24"/>
        </w:rPr>
        <w:t>xamples are available in</w:t>
      </w:r>
      <w:r w:rsidR="0082386B" w:rsidRPr="0082386B">
        <w:rPr>
          <w:rFonts w:cstheme="minorHAnsi"/>
          <w:sz w:val="24"/>
          <w:szCs w:val="24"/>
        </w:rPr>
        <w:t xml:space="preserve"> </w:t>
      </w:r>
      <w:r w:rsidR="0082386B">
        <w:rPr>
          <w:rFonts w:cstheme="minorHAnsi"/>
          <w:sz w:val="24"/>
          <w:szCs w:val="24"/>
        </w:rPr>
        <w:t xml:space="preserve">the appendix of </w:t>
      </w:r>
      <w:r w:rsidR="0082386B" w:rsidRPr="007226BF">
        <w:rPr>
          <w:rFonts w:cstheme="minorHAnsi"/>
          <w:sz w:val="24"/>
          <w:szCs w:val="24"/>
        </w:rPr>
        <w:t xml:space="preserve">Porter, et al. Guidelines for the Cardiac Sonographer in the Performance of Contrast Echocardiography: A Focused Update from the American Society of Echocardiography. J Am </w:t>
      </w:r>
      <w:proofErr w:type="spellStart"/>
      <w:r w:rsidR="0082386B" w:rsidRPr="007226BF">
        <w:rPr>
          <w:rFonts w:cstheme="minorHAnsi"/>
          <w:sz w:val="24"/>
          <w:szCs w:val="24"/>
        </w:rPr>
        <w:t>Soc</w:t>
      </w:r>
      <w:proofErr w:type="spellEnd"/>
      <w:r w:rsidR="0082386B" w:rsidRPr="007226BF">
        <w:rPr>
          <w:rFonts w:cstheme="minorHAnsi"/>
          <w:sz w:val="24"/>
          <w:szCs w:val="24"/>
        </w:rPr>
        <w:t xml:space="preserve"> </w:t>
      </w:r>
      <w:proofErr w:type="spellStart"/>
      <w:r w:rsidR="0082386B" w:rsidRPr="007226BF">
        <w:rPr>
          <w:rFonts w:cstheme="minorHAnsi"/>
          <w:sz w:val="24"/>
          <w:szCs w:val="24"/>
        </w:rPr>
        <w:t>Echocardiogr</w:t>
      </w:r>
      <w:proofErr w:type="spellEnd"/>
      <w:r w:rsidR="0082386B" w:rsidRPr="007226BF">
        <w:rPr>
          <w:rFonts w:cstheme="minorHAnsi"/>
          <w:sz w:val="24"/>
          <w:szCs w:val="24"/>
        </w:rPr>
        <w:t xml:space="preserve"> 2014</w:t>
      </w:r>
      <w:proofErr w:type="gramStart"/>
      <w:r w:rsidR="0082386B" w:rsidRPr="007226BF">
        <w:rPr>
          <w:rFonts w:cstheme="minorHAnsi"/>
          <w:sz w:val="24"/>
          <w:szCs w:val="24"/>
        </w:rPr>
        <w:t>;27:797</w:t>
      </w:r>
      <w:proofErr w:type="gramEnd"/>
      <w:r w:rsidR="0082386B" w:rsidRPr="007226BF">
        <w:rPr>
          <w:rFonts w:cstheme="minorHAnsi"/>
          <w:sz w:val="24"/>
          <w:szCs w:val="24"/>
        </w:rPr>
        <w:t>-810.</w:t>
      </w:r>
    </w:p>
    <w:p w:rsidR="009D62AD" w:rsidRPr="004B19E7" w:rsidRDefault="009D62AD" w:rsidP="004B19E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Preparation and administration of agitated saline</w:t>
      </w:r>
    </w:p>
    <w:p w:rsidR="00566BC3" w:rsidRDefault="00566BC3" w:rsidP="004B19E7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Based on ASE guidelines and/or individual facility protocols</w:t>
      </w:r>
    </w:p>
    <w:p w:rsidR="00644323" w:rsidRPr="00644323" w:rsidRDefault="00644323" w:rsidP="0064432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Documentation of lab-based competency</w:t>
      </w:r>
      <w:r w:rsidR="001622F9">
        <w:rPr>
          <w:sz w:val="24"/>
          <w:szCs w:val="24"/>
        </w:rPr>
        <w:t xml:space="preserve"> testing</w:t>
      </w:r>
    </w:p>
    <w:p w:rsidR="00B265E6" w:rsidRPr="00B265E6" w:rsidRDefault="00B265E6" w:rsidP="00B265E6">
      <w:pPr>
        <w:autoSpaceDE w:val="0"/>
        <w:autoSpaceDN w:val="0"/>
        <w:adjustRightInd w:val="0"/>
        <w:rPr>
          <w:sz w:val="24"/>
          <w:szCs w:val="24"/>
        </w:rPr>
      </w:pPr>
      <w:r w:rsidRPr="00B265E6">
        <w:rPr>
          <w:sz w:val="24"/>
          <w:szCs w:val="24"/>
        </w:rPr>
        <w:t>Plan for transition to clinical practice and competency testing according to facility policy</w:t>
      </w:r>
    </w:p>
    <w:p w:rsidR="003B1D96" w:rsidRPr="002A5B17" w:rsidRDefault="003B1D96" w:rsidP="003B1D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Plan for o</w:t>
      </w:r>
      <w:r w:rsidRPr="002A5B17">
        <w:rPr>
          <w:sz w:val="24"/>
          <w:szCs w:val="24"/>
        </w:rPr>
        <w:t xml:space="preserve">ngoing </w:t>
      </w:r>
      <w:r>
        <w:rPr>
          <w:sz w:val="24"/>
          <w:szCs w:val="24"/>
        </w:rPr>
        <w:t>c</w:t>
      </w:r>
      <w:r w:rsidRPr="002A5B17">
        <w:rPr>
          <w:sz w:val="24"/>
          <w:szCs w:val="24"/>
        </w:rPr>
        <w:t xml:space="preserve">ompetency </w:t>
      </w:r>
      <w:r w:rsidR="003B116C">
        <w:rPr>
          <w:sz w:val="24"/>
          <w:szCs w:val="24"/>
        </w:rPr>
        <w:t>(if applicable)</w:t>
      </w:r>
    </w:p>
    <w:p w:rsidR="00AB13A6" w:rsidRPr="00C53BF7" w:rsidRDefault="00AB13A6" w:rsidP="003B1D96">
      <w:pPr>
        <w:rPr>
          <w:sz w:val="24"/>
          <w:szCs w:val="24"/>
        </w:rPr>
      </w:pPr>
    </w:p>
    <w:sectPr w:rsidR="00AB13A6" w:rsidRPr="00C53BF7" w:rsidSect="00CD0864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EB"/>
    <w:multiLevelType w:val="hybridMultilevel"/>
    <w:tmpl w:val="0350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AAA"/>
    <w:multiLevelType w:val="hybridMultilevel"/>
    <w:tmpl w:val="B16C29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5E421E3"/>
    <w:multiLevelType w:val="hybridMultilevel"/>
    <w:tmpl w:val="573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BF6"/>
    <w:multiLevelType w:val="hybridMultilevel"/>
    <w:tmpl w:val="FBF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0052"/>
    <w:multiLevelType w:val="hybridMultilevel"/>
    <w:tmpl w:val="DB2E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8323D"/>
    <w:multiLevelType w:val="hybridMultilevel"/>
    <w:tmpl w:val="053E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674E2"/>
    <w:multiLevelType w:val="hybridMultilevel"/>
    <w:tmpl w:val="B1B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23B77"/>
    <w:multiLevelType w:val="hybridMultilevel"/>
    <w:tmpl w:val="2C8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991"/>
    <w:multiLevelType w:val="hybridMultilevel"/>
    <w:tmpl w:val="09C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875BA"/>
    <w:multiLevelType w:val="hybridMultilevel"/>
    <w:tmpl w:val="593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E2CFE"/>
    <w:multiLevelType w:val="hybridMultilevel"/>
    <w:tmpl w:val="874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C5CA0"/>
    <w:multiLevelType w:val="hybridMultilevel"/>
    <w:tmpl w:val="3A1A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A101A"/>
    <w:multiLevelType w:val="hybridMultilevel"/>
    <w:tmpl w:val="E9A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344FB"/>
    <w:multiLevelType w:val="hybridMultilevel"/>
    <w:tmpl w:val="DA2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42620"/>
    <w:multiLevelType w:val="hybridMultilevel"/>
    <w:tmpl w:val="CBD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24A9D"/>
    <w:multiLevelType w:val="hybridMultilevel"/>
    <w:tmpl w:val="354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00B67"/>
    <w:multiLevelType w:val="hybridMultilevel"/>
    <w:tmpl w:val="5080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85BBB"/>
    <w:multiLevelType w:val="hybridMultilevel"/>
    <w:tmpl w:val="CF7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E2370"/>
    <w:multiLevelType w:val="hybridMultilevel"/>
    <w:tmpl w:val="895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F7425"/>
    <w:multiLevelType w:val="hybridMultilevel"/>
    <w:tmpl w:val="ECAE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A6611"/>
    <w:multiLevelType w:val="hybridMultilevel"/>
    <w:tmpl w:val="E0B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C29BE"/>
    <w:multiLevelType w:val="hybridMultilevel"/>
    <w:tmpl w:val="2AF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D1073"/>
    <w:multiLevelType w:val="hybridMultilevel"/>
    <w:tmpl w:val="702E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61C67"/>
    <w:multiLevelType w:val="hybridMultilevel"/>
    <w:tmpl w:val="9AD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659B0"/>
    <w:multiLevelType w:val="hybridMultilevel"/>
    <w:tmpl w:val="3114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4"/>
  </w:num>
  <w:num w:numId="14">
    <w:abstractNumId w:val="6"/>
  </w:num>
  <w:num w:numId="15">
    <w:abstractNumId w:val="22"/>
  </w:num>
  <w:num w:numId="16">
    <w:abstractNumId w:val="18"/>
  </w:num>
  <w:num w:numId="17">
    <w:abstractNumId w:val="11"/>
  </w:num>
  <w:num w:numId="18">
    <w:abstractNumId w:val="15"/>
  </w:num>
  <w:num w:numId="19">
    <w:abstractNumId w:val="0"/>
  </w:num>
  <w:num w:numId="20">
    <w:abstractNumId w:val="12"/>
  </w:num>
  <w:num w:numId="21">
    <w:abstractNumId w:val="19"/>
  </w:num>
  <w:num w:numId="22">
    <w:abstractNumId w:val="7"/>
  </w:num>
  <w:num w:numId="23">
    <w:abstractNumId w:val="23"/>
  </w:num>
  <w:num w:numId="24">
    <w:abstractNumId w:val="3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B"/>
    <w:rsid w:val="00000620"/>
    <w:rsid w:val="0000536F"/>
    <w:rsid w:val="000129FE"/>
    <w:rsid w:val="00022293"/>
    <w:rsid w:val="000233D8"/>
    <w:rsid w:val="00030285"/>
    <w:rsid w:val="00031135"/>
    <w:rsid w:val="00036958"/>
    <w:rsid w:val="00037E38"/>
    <w:rsid w:val="00040D20"/>
    <w:rsid w:val="00042608"/>
    <w:rsid w:val="0004793E"/>
    <w:rsid w:val="000523B5"/>
    <w:rsid w:val="000529E5"/>
    <w:rsid w:val="000736B1"/>
    <w:rsid w:val="0007537D"/>
    <w:rsid w:val="00090155"/>
    <w:rsid w:val="00095D91"/>
    <w:rsid w:val="000C1968"/>
    <w:rsid w:val="000C33C8"/>
    <w:rsid w:val="000F0626"/>
    <w:rsid w:val="000F688F"/>
    <w:rsid w:val="001001FE"/>
    <w:rsid w:val="00106868"/>
    <w:rsid w:val="001121BF"/>
    <w:rsid w:val="00113232"/>
    <w:rsid w:val="001164F9"/>
    <w:rsid w:val="00131DBA"/>
    <w:rsid w:val="00136046"/>
    <w:rsid w:val="0013654F"/>
    <w:rsid w:val="00140EB4"/>
    <w:rsid w:val="00144044"/>
    <w:rsid w:val="00160279"/>
    <w:rsid w:val="001622F9"/>
    <w:rsid w:val="00165968"/>
    <w:rsid w:val="001955B3"/>
    <w:rsid w:val="00195D1F"/>
    <w:rsid w:val="001B6A65"/>
    <w:rsid w:val="001B70D1"/>
    <w:rsid w:val="001C6168"/>
    <w:rsid w:val="001E004C"/>
    <w:rsid w:val="001E6AB9"/>
    <w:rsid w:val="001F23D3"/>
    <w:rsid w:val="002114D2"/>
    <w:rsid w:val="002232CD"/>
    <w:rsid w:val="002249A6"/>
    <w:rsid w:val="00231AC8"/>
    <w:rsid w:val="0023474C"/>
    <w:rsid w:val="002351EB"/>
    <w:rsid w:val="0025243A"/>
    <w:rsid w:val="00257C00"/>
    <w:rsid w:val="002608BD"/>
    <w:rsid w:val="00263CE1"/>
    <w:rsid w:val="00281825"/>
    <w:rsid w:val="00286870"/>
    <w:rsid w:val="0029691C"/>
    <w:rsid w:val="002B5AE6"/>
    <w:rsid w:val="002B74F4"/>
    <w:rsid w:val="002C3F55"/>
    <w:rsid w:val="002D5445"/>
    <w:rsid w:val="002D58A5"/>
    <w:rsid w:val="002D72D7"/>
    <w:rsid w:val="002D7CF6"/>
    <w:rsid w:val="002D7D8C"/>
    <w:rsid w:val="002F2272"/>
    <w:rsid w:val="002F289D"/>
    <w:rsid w:val="002F610F"/>
    <w:rsid w:val="003148FE"/>
    <w:rsid w:val="003234EF"/>
    <w:rsid w:val="00336D8C"/>
    <w:rsid w:val="00372B76"/>
    <w:rsid w:val="0037325C"/>
    <w:rsid w:val="003A02C9"/>
    <w:rsid w:val="003A7E36"/>
    <w:rsid w:val="003B116C"/>
    <w:rsid w:val="003B1D96"/>
    <w:rsid w:val="003B509A"/>
    <w:rsid w:val="003B7F78"/>
    <w:rsid w:val="003C1D5B"/>
    <w:rsid w:val="003C2F61"/>
    <w:rsid w:val="003C6F4B"/>
    <w:rsid w:val="003D3829"/>
    <w:rsid w:val="003E12CA"/>
    <w:rsid w:val="003E23C5"/>
    <w:rsid w:val="003F12B8"/>
    <w:rsid w:val="003F33AE"/>
    <w:rsid w:val="00403E58"/>
    <w:rsid w:val="00410565"/>
    <w:rsid w:val="004129A1"/>
    <w:rsid w:val="00420750"/>
    <w:rsid w:val="00421BBE"/>
    <w:rsid w:val="00421DAF"/>
    <w:rsid w:val="00427C5C"/>
    <w:rsid w:val="004417FB"/>
    <w:rsid w:val="00442413"/>
    <w:rsid w:val="00447936"/>
    <w:rsid w:val="004603B7"/>
    <w:rsid w:val="0046637D"/>
    <w:rsid w:val="0046647E"/>
    <w:rsid w:val="00471227"/>
    <w:rsid w:val="00473CBD"/>
    <w:rsid w:val="0048133C"/>
    <w:rsid w:val="00481995"/>
    <w:rsid w:val="00490C21"/>
    <w:rsid w:val="004A0935"/>
    <w:rsid w:val="004A7C58"/>
    <w:rsid w:val="004B19E7"/>
    <w:rsid w:val="004C4924"/>
    <w:rsid w:val="004C5B71"/>
    <w:rsid w:val="004C5E6B"/>
    <w:rsid w:val="004C7B17"/>
    <w:rsid w:val="004E118B"/>
    <w:rsid w:val="004F13AC"/>
    <w:rsid w:val="004F1994"/>
    <w:rsid w:val="004F221D"/>
    <w:rsid w:val="00503D90"/>
    <w:rsid w:val="00512EE4"/>
    <w:rsid w:val="00515032"/>
    <w:rsid w:val="00516C1E"/>
    <w:rsid w:val="00521418"/>
    <w:rsid w:val="00523707"/>
    <w:rsid w:val="00531ED8"/>
    <w:rsid w:val="0053200B"/>
    <w:rsid w:val="005500F6"/>
    <w:rsid w:val="00561F2D"/>
    <w:rsid w:val="00566BC3"/>
    <w:rsid w:val="005867CA"/>
    <w:rsid w:val="00590431"/>
    <w:rsid w:val="005942B3"/>
    <w:rsid w:val="00594E94"/>
    <w:rsid w:val="00597284"/>
    <w:rsid w:val="005974E0"/>
    <w:rsid w:val="005A0CA3"/>
    <w:rsid w:val="005A3B5B"/>
    <w:rsid w:val="005B634D"/>
    <w:rsid w:val="005C571F"/>
    <w:rsid w:val="005D7B83"/>
    <w:rsid w:val="005E0A35"/>
    <w:rsid w:val="0060558E"/>
    <w:rsid w:val="00610EA7"/>
    <w:rsid w:val="00611A88"/>
    <w:rsid w:val="00626D37"/>
    <w:rsid w:val="00635552"/>
    <w:rsid w:val="00636793"/>
    <w:rsid w:val="00644323"/>
    <w:rsid w:val="00647F76"/>
    <w:rsid w:val="00657613"/>
    <w:rsid w:val="00657C5D"/>
    <w:rsid w:val="0067604D"/>
    <w:rsid w:val="00694C81"/>
    <w:rsid w:val="006A1C83"/>
    <w:rsid w:val="006A421D"/>
    <w:rsid w:val="006A6094"/>
    <w:rsid w:val="006B2A09"/>
    <w:rsid w:val="006B523B"/>
    <w:rsid w:val="006C0E12"/>
    <w:rsid w:val="006D212C"/>
    <w:rsid w:val="006E50EE"/>
    <w:rsid w:val="006F2658"/>
    <w:rsid w:val="006F49DF"/>
    <w:rsid w:val="00704C4C"/>
    <w:rsid w:val="00710B62"/>
    <w:rsid w:val="007173FE"/>
    <w:rsid w:val="007226BF"/>
    <w:rsid w:val="007241A6"/>
    <w:rsid w:val="00730146"/>
    <w:rsid w:val="00730198"/>
    <w:rsid w:val="0073110C"/>
    <w:rsid w:val="007409A0"/>
    <w:rsid w:val="00743BFF"/>
    <w:rsid w:val="007448EC"/>
    <w:rsid w:val="00751829"/>
    <w:rsid w:val="00757D9F"/>
    <w:rsid w:val="00765E51"/>
    <w:rsid w:val="007666B9"/>
    <w:rsid w:val="00787A3F"/>
    <w:rsid w:val="007931AE"/>
    <w:rsid w:val="007937E3"/>
    <w:rsid w:val="007A2097"/>
    <w:rsid w:val="007B7719"/>
    <w:rsid w:val="007C79F4"/>
    <w:rsid w:val="007D4477"/>
    <w:rsid w:val="007D73B3"/>
    <w:rsid w:val="007E0DC2"/>
    <w:rsid w:val="007E1C11"/>
    <w:rsid w:val="007F0C27"/>
    <w:rsid w:val="007F5F2B"/>
    <w:rsid w:val="007F7F4D"/>
    <w:rsid w:val="00804370"/>
    <w:rsid w:val="008221CE"/>
    <w:rsid w:val="0082386B"/>
    <w:rsid w:val="00827624"/>
    <w:rsid w:val="00834C5E"/>
    <w:rsid w:val="00853008"/>
    <w:rsid w:val="00870FDE"/>
    <w:rsid w:val="00873BCA"/>
    <w:rsid w:val="00880CCC"/>
    <w:rsid w:val="00880E61"/>
    <w:rsid w:val="008833B7"/>
    <w:rsid w:val="00887D31"/>
    <w:rsid w:val="008936A5"/>
    <w:rsid w:val="008A1F70"/>
    <w:rsid w:val="008A2C56"/>
    <w:rsid w:val="008B1684"/>
    <w:rsid w:val="008B400A"/>
    <w:rsid w:val="008D107A"/>
    <w:rsid w:val="008D4B95"/>
    <w:rsid w:val="008D62EC"/>
    <w:rsid w:val="008D6E56"/>
    <w:rsid w:val="008E1543"/>
    <w:rsid w:val="008E355F"/>
    <w:rsid w:val="008F17BD"/>
    <w:rsid w:val="008F1E7F"/>
    <w:rsid w:val="008F386B"/>
    <w:rsid w:val="008F4E52"/>
    <w:rsid w:val="00903FD8"/>
    <w:rsid w:val="00935EB9"/>
    <w:rsid w:val="00941A70"/>
    <w:rsid w:val="00942BA1"/>
    <w:rsid w:val="009438E8"/>
    <w:rsid w:val="009465B8"/>
    <w:rsid w:val="00954407"/>
    <w:rsid w:val="00965EC1"/>
    <w:rsid w:val="00980EF4"/>
    <w:rsid w:val="00992221"/>
    <w:rsid w:val="009A7DF5"/>
    <w:rsid w:val="009B2B9B"/>
    <w:rsid w:val="009C2489"/>
    <w:rsid w:val="009D02E6"/>
    <w:rsid w:val="009D1393"/>
    <w:rsid w:val="009D62AD"/>
    <w:rsid w:val="009E3206"/>
    <w:rsid w:val="009E47BC"/>
    <w:rsid w:val="009E4D48"/>
    <w:rsid w:val="00A04067"/>
    <w:rsid w:val="00A161AD"/>
    <w:rsid w:val="00A1759F"/>
    <w:rsid w:val="00A30960"/>
    <w:rsid w:val="00A468DF"/>
    <w:rsid w:val="00A515F8"/>
    <w:rsid w:val="00A5167F"/>
    <w:rsid w:val="00A525CC"/>
    <w:rsid w:val="00A55734"/>
    <w:rsid w:val="00A66FF6"/>
    <w:rsid w:val="00A70498"/>
    <w:rsid w:val="00A764D7"/>
    <w:rsid w:val="00A859EE"/>
    <w:rsid w:val="00A87643"/>
    <w:rsid w:val="00A95EA8"/>
    <w:rsid w:val="00A974F6"/>
    <w:rsid w:val="00AA4ADA"/>
    <w:rsid w:val="00AB13A6"/>
    <w:rsid w:val="00AB54F2"/>
    <w:rsid w:val="00AC1A9D"/>
    <w:rsid w:val="00AC1B8E"/>
    <w:rsid w:val="00AC7E87"/>
    <w:rsid w:val="00AD7D38"/>
    <w:rsid w:val="00B16541"/>
    <w:rsid w:val="00B20B15"/>
    <w:rsid w:val="00B265E6"/>
    <w:rsid w:val="00B3088B"/>
    <w:rsid w:val="00B32911"/>
    <w:rsid w:val="00B558D3"/>
    <w:rsid w:val="00B5627C"/>
    <w:rsid w:val="00B64436"/>
    <w:rsid w:val="00B6607E"/>
    <w:rsid w:val="00B71E76"/>
    <w:rsid w:val="00B7541B"/>
    <w:rsid w:val="00B75E11"/>
    <w:rsid w:val="00B92694"/>
    <w:rsid w:val="00B9496E"/>
    <w:rsid w:val="00B97272"/>
    <w:rsid w:val="00B97A90"/>
    <w:rsid w:val="00BA43D7"/>
    <w:rsid w:val="00BB24D4"/>
    <w:rsid w:val="00BB3352"/>
    <w:rsid w:val="00BB41BA"/>
    <w:rsid w:val="00BB6051"/>
    <w:rsid w:val="00BD03DD"/>
    <w:rsid w:val="00BF38AF"/>
    <w:rsid w:val="00BF5EAD"/>
    <w:rsid w:val="00C00680"/>
    <w:rsid w:val="00C00E5E"/>
    <w:rsid w:val="00C1051C"/>
    <w:rsid w:val="00C1519A"/>
    <w:rsid w:val="00C157FE"/>
    <w:rsid w:val="00C24F00"/>
    <w:rsid w:val="00C52E19"/>
    <w:rsid w:val="00C539D3"/>
    <w:rsid w:val="00C53BF7"/>
    <w:rsid w:val="00C6586D"/>
    <w:rsid w:val="00C71C24"/>
    <w:rsid w:val="00C750C3"/>
    <w:rsid w:val="00C91581"/>
    <w:rsid w:val="00CA4888"/>
    <w:rsid w:val="00CB29C6"/>
    <w:rsid w:val="00CC4364"/>
    <w:rsid w:val="00CC6BA0"/>
    <w:rsid w:val="00CD0864"/>
    <w:rsid w:val="00CD6EA2"/>
    <w:rsid w:val="00CE4DFA"/>
    <w:rsid w:val="00CE5823"/>
    <w:rsid w:val="00CE732B"/>
    <w:rsid w:val="00CF07BD"/>
    <w:rsid w:val="00CF0ECF"/>
    <w:rsid w:val="00CF27D7"/>
    <w:rsid w:val="00D01378"/>
    <w:rsid w:val="00D05AC5"/>
    <w:rsid w:val="00D06A36"/>
    <w:rsid w:val="00D06EB1"/>
    <w:rsid w:val="00D15DF5"/>
    <w:rsid w:val="00D307A6"/>
    <w:rsid w:val="00D32325"/>
    <w:rsid w:val="00D41CD5"/>
    <w:rsid w:val="00D46319"/>
    <w:rsid w:val="00D5012E"/>
    <w:rsid w:val="00D56A97"/>
    <w:rsid w:val="00D70A3C"/>
    <w:rsid w:val="00D753AE"/>
    <w:rsid w:val="00D77984"/>
    <w:rsid w:val="00D82092"/>
    <w:rsid w:val="00D92B21"/>
    <w:rsid w:val="00D92B5D"/>
    <w:rsid w:val="00D96F65"/>
    <w:rsid w:val="00DB14B7"/>
    <w:rsid w:val="00DB1BAB"/>
    <w:rsid w:val="00DB27E8"/>
    <w:rsid w:val="00DC4F34"/>
    <w:rsid w:val="00DD0CEF"/>
    <w:rsid w:val="00DD5BDF"/>
    <w:rsid w:val="00DE06AF"/>
    <w:rsid w:val="00DE3EB0"/>
    <w:rsid w:val="00DF41DF"/>
    <w:rsid w:val="00DF4785"/>
    <w:rsid w:val="00E06B46"/>
    <w:rsid w:val="00E25C57"/>
    <w:rsid w:val="00E31971"/>
    <w:rsid w:val="00E336EF"/>
    <w:rsid w:val="00E54082"/>
    <w:rsid w:val="00E54EC9"/>
    <w:rsid w:val="00E65DB9"/>
    <w:rsid w:val="00E74CD9"/>
    <w:rsid w:val="00E74DB2"/>
    <w:rsid w:val="00E8457D"/>
    <w:rsid w:val="00E931C8"/>
    <w:rsid w:val="00EB10A6"/>
    <w:rsid w:val="00EC3DF0"/>
    <w:rsid w:val="00ED0078"/>
    <w:rsid w:val="00ED3C0E"/>
    <w:rsid w:val="00EE5565"/>
    <w:rsid w:val="00EF1C52"/>
    <w:rsid w:val="00EF3BAD"/>
    <w:rsid w:val="00EF525A"/>
    <w:rsid w:val="00F01F49"/>
    <w:rsid w:val="00F0760A"/>
    <w:rsid w:val="00F132AC"/>
    <w:rsid w:val="00F257DD"/>
    <w:rsid w:val="00F37D23"/>
    <w:rsid w:val="00F403A5"/>
    <w:rsid w:val="00F473B8"/>
    <w:rsid w:val="00F47990"/>
    <w:rsid w:val="00F55000"/>
    <w:rsid w:val="00F61C5E"/>
    <w:rsid w:val="00F64F10"/>
    <w:rsid w:val="00F7019A"/>
    <w:rsid w:val="00F739A8"/>
    <w:rsid w:val="00F73AF0"/>
    <w:rsid w:val="00F749C5"/>
    <w:rsid w:val="00F75F86"/>
    <w:rsid w:val="00F8325A"/>
    <w:rsid w:val="00FA08C4"/>
    <w:rsid w:val="00FB2195"/>
    <w:rsid w:val="00FB4031"/>
    <w:rsid w:val="00FB42DD"/>
    <w:rsid w:val="00FB520B"/>
    <w:rsid w:val="00FB655F"/>
    <w:rsid w:val="00FD0D74"/>
    <w:rsid w:val="00FD67D3"/>
    <w:rsid w:val="00FD6A08"/>
    <w:rsid w:val="00FE1817"/>
    <w:rsid w:val="00FE37E5"/>
    <w:rsid w:val="00FF046F"/>
    <w:rsid w:val="00FF2E37"/>
    <w:rsid w:val="00FF49AE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4D"/>
    <w:rPr>
      <w:color w:val="0000FF" w:themeColor="hyperlink"/>
      <w:u w:val="single"/>
    </w:rPr>
  </w:style>
  <w:style w:type="character" w:customStyle="1" w:styleId="pib-employee-name1">
    <w:name w:val="pib-employee-name1"/>
    <w:basedOn w:val="DefaultParagraphFont"/>
    <w:rsid w:val="00B97272"/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B97272"/>
    <w:pPr>
      <w:spacing w:after="0" w:line="240" w:lineRule="auto"/>
      <w:ind w:righ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72"/>
    <w:pPr>
      <w:spacing w:after="0" w:line="240" w:lineRule="auto"/>
      <w:ind w:right="21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972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9727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4D"/>
    <w:rPr>
      <w:color w:val="0000FF" w:themeColor="hyperlink"/>
      <w:u w:val="single"/>
    </w:rPr>
  </w:style>
  <w:style w:type="character" w:customStyle="1" w:styleId="pib-employee-name1">
    <w:name w:val="pib-employee-name1"/>
    <w:basedOn w:val="DefaultParagraphFont"/>
    <w:rsid w:val="00B97272"/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B97272"/>
    <w:pPr>
      <w:spacing w:after="0" w:line="240" w:lineRule="auto"/>
      <w:ind w:righ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72"/>
    <w:pPr>
      <w:spacing w:after="0" w:line="240" w:lineRule="auto"/>
      <w:ind w:right="21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972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9727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stzo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 L Bremer</dc:creator>
  <cp:lastModifiedBy>Merri L Bremer</cp:lastModifiedBy>
  <cp:revision>66</cp:revision>
  <cp:lastPrinted>2018-07-19T16:23:00Z</cp:lastPrinted>
  <dcterms:created xsi:type="dcterms:W3CDTF">2020-04-29T13:13:00Z</dcterms:created>
  <dcterms:modified xsi:type="dcterms:W3CDTF">2020-04-30T17:49:00Z</dcterms:modified>
</cp:coreProperties>
</file>